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60" w:rsidRDefault="00406560" w:rsidP="00406560">
      <w:pPr>
        <w:pStyle w:val="Body"/>
      </w:pPr>
      <w:bookmarkStart w:id="0" w:name="_GoBack"/>
      <w:bookmarkEnd w:id="0"/>
    </w:p>
    <w:p w:rsidR="00406560" w:rsidRDefault="00406560" w:rsidP="00406560">
      <w:pPr>
        <w:pStyle w:val="Body"/>
      </w:pPr>
    </w:p>
    <w:p w:rsidR="00406560" w:rsidRDefault="00406560" w:rsidP="00406560">
      <w:pPr>
        <w:pStyle w:val="Body"/>
      </w:pPr>
    </w:p>
    <w:p w:rsidR="00406560" w:rsidRDefault="00406560" w:rsidP="00406560">
      <w:pPr>
        <w:pStyle w:val="Body"/>
      </w:pPr>
    </w:p>
    <w:p w:rsidR="00406560" w:rsidRDefault="00406560" w:rsidP="00406560">
      <w:pPr>
        <w:pStyle w:val="Body"/>
      </w:pPr>
    </w:p>
    <w:p w:rsidR="00406560" w:rsidRDefault="00406560" w:rsidP="00406560">
      <w:pPr>
        <w:pStyle w:val="Body"/>
      </w:pPr>
    </w:p>
    <w:p w:rsidR="00406560" w:rsidRDefault="00406560" w:rsidP="00406560">
      <w:pPr>
        <w:pStyle w:val="Body"/>
      </w:pPr>
    </w:p>
    <w:p w:rsidR="00406560" w:rsidRDefault="00406560" w:rsidP="00406560">
      <w:pPr>
        <w:pStyle w:val="Body"/>
      </w:pPr>
    </w:p>
    <w:p w:rsidR="00406560" w:rsidRDefault="00406560" w:rsidP="00406560">
      <w:pPr>
        <w:pStyle w:val="Body"/>
      </w:pPr>
    </w:p>
    <w:p w:rsidR="00406560" w:rsidRPr="0067690E" w:rsidRDefault="00406560" w:rsidP="00406560">
      <w:pPr>
        <w:pStyle w:val="Body"/>
        <w:rPr>
          <w:b/>
          <w:color w:val="999999"/>
          <w:sz w:val="40"/>
          <w:szCs w:val="40"/>
        </w:rPr>
      </w:pPr>
      <w:r w:rsidRPr="0067690E">
        <w:rPr>
          <w:b/>
          <w:color w:val="999999"/>
          <w:sz w:val="40"/>
          <w:szCs w:val="40"/>
        </w:rPr>
        <w:t>CalaChem Pension Fund (DC Section)</w:t>
      </w:r>
    </w:p>
    <w:p w:rsidR="00406560" w:rsidRDefault="00406560" w:rsidP="00406560">
      <w:pPr>
        <w:pStyle w:val="Body"/>
      </w:pPr>
    </w:p>
    <w:p w:rsidR="00406560" w:rsidRPr="0067690E" w:rsidRDefault="00406560" w:rsidP="00406560">
      <w:pPr>
        <w:pStyle w:val="Body"/>
        <w:rPr>
          <w:sz w:val="36"/>
          <w:szCs w:val="36"/>
        </w:rPr>
      </w:pPr>
      <w:r w:rsidRPr="0067690E">
        <w:rPr>
          <w:sz w:val="36"/>
          <w:szCs w:val="36"/>
        </w:rPr>
        <w:t>Statement of Investment Principles</w:t>
      </w:r>
    </w:p>
    <w:p w:rsidR="00406560" w:rsidRDefault="00406560" w:rsidP="00406560">
      <w:pPr>
        <w:pStyle w:val="Body"/>
      </w:pPr>
    </w:p>
    <w:p w:rsidR="00406560" w:rsidRDefault="00406560" w:rsidP="00406560">
      <w:pPr>
        <w:pStyle w:val="Body"/>
      </w:pPr>
    </w:p>
    <w:p w:rsidR="00406560" w:rsidRPr="0067690E" w:rsidRDefault="00406560" w:rsidP="00406560">
      <w:pPr>
        <w:pStyle w:val="Body"/>
        <w:rPr>
          <w:b/>
        </w:rPr>
      </w:pPr>
      <w:r w:rsidRPr="0067690E">
        <w:rPr>
          <w:b/>
        </w:rPr>
        <w:t>July 2019</w:t>
      </w:r>
    </w:p>
    <w:p w:rsidR="00406560" w:rsidRPr="00406560" w:rsidRDefault="00406560" w:rsidP="00406560">
      <w:pPr>
        <w:pStyle w:val="Body"/>
      </w:pPr>
    </w:p>
    <w:p w:rsidR="00406560" w:rsidRDefault="00406560" w:rsidP="00406560">
      <w:pPr>
        <w:pStyle w:val="Body"/>
        <w:sectPr w:rsidR="00406560" w:rsidSect="00406560">
          <w:type w:val="continuous"/>
          <w:pgSz w:w="11909" w:h="16834"/>
          <w:pgMar w:top="1418" w:right="1134" w:bottom="1418" w:left="1134" w:header="567" w:footer="3" w:gutter="0"/>
          <w:cols w:space="720"/>
          <w:noEndnote/>
          <w:docGrid w:linePitch="360"/>
        </w:sectPr>
      </w:pPr>
    </w:p>
    <w:p w:rsidR="00406560" w:rsidRDefault="00406560" w:rsidP="00406560">
      <w:pPr>
        <w:pStyle w:val="Body"/>
      </w:pPr>
    </w:p>
    <w:p w:rsidR="0067690E" w:rsidRPr="00F22781" w:rsidRDefault="0067690E" w:rsidP="00406560">
      <w:pPr>
        <w:pStyle w:val="Body"/>
        <w:rPr>
          <w:b/>
          <w:sz w:val="28"/>
          <w:szCs w:val="28"/>
        </w:rPr>
      </w:pPr>
      <w:r w:rsidRPr="00F22781">
        <w:rPr>
          <w:b/>
          <w:sz w:val="28"/>
          <w:szCs w:val="28"/>
        </w:rPr>
        <w:t>Version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701"/>
      </w:tblGrid>
      <w:tr w:rsidR="0067690E" w:rsidTr="0067690E">
        <w:tc>
          <w:tcPr>
            <w:tcW w:w="1101" w:type="dxa"/>
          </w:tcPr>
          <w:p w:rsidR="0067690E" w:rsidRPr="0067690E" w:rsidRDefault="0067690E" w:rsidP="0067690E">
            <w:pPr>
              <w:pStyle w:val="Body"/>
              <w:rPr>
                <w:b/>
              </w:rPr>
            </w:pPr>
            <w:r>
              <w:rPr>
                <w:b/>
              </w:rPr>
              <w:t>Ve</w:t>
            </w:r>
            <w:r w:rsidRPr="0067690E">
              <w:rPr>
                <w:b/>
              </w:rPr>
              <w:t>rsion</w:t>
            </w:r>
          </w:p>
        </w:tc>
        <w:tc>
          <w:tcPr>
            <w:tcW w:w="1701" w:type="dxa"/>
          </w:tcPr>
          <w:p w:rsidR="0067690E" w:rsidRPr="0067690E" w:rsidRDefault="0067690E" w:rsidP="00406560">
            <w:pPr>
              <w:pStyle w:val="Body"/>
              <w:rPr>
                <w:b/>
              </w:rPr>
            </w:pPr>
            <w:r w:rsidRPr="0067690E">
              <w:rPr>
                <w:b/>
              </w:rPr>
              <w:t>Effective From</w:t>
            </w:r>
          </w:p>
        </w:tc>
      </w:tr>
      <w:tr w:rsidR="0067690E" w:rsidTr="0067690E">
        <w:tc>
          <w:tcPr>
            <w:tcW w:w="1101" w:type="dxa"/>
          </w:tcPr>
          <w:p w:rsidR="0067690E" w:rsidRDefault="0067690E" w:rsidP="00406560">
            <w:pPr>
              <w:pStyle w:val="Body"/>
            </w:pPr>
            <w:r>
              <w:t>1.0</w:t>
            </w:r>
          </w:p>
        </w:tc>
        <w:tc>
          <w:tcPr>
            <w:tcW w:w="1701" w:type="dxa"/>
          </w:tcPr>
          <w:p w:rsidR="0067690E" w:rsidRDefault="0067690E" w:rsidP="00406560">
            <w:pPr>
              <w:pStyle w:val="Body"/>
            </w:pPr>
            <w:r>
              <w:t>June 2015</w:t>
            </w:r>
          </w:p>
        </w:tc>
      </w:tr>
      <w:tr w:rsidR="0067690E" w:rsidTr="0067690E">
        <w:tc>
          <w:tcPr>
            <w:tcW w:w="1101" w:type="dxa"/>
          </w:tcPr>
          <w:p w:rsidR="0067690E" w:rsidRDefault="0067690E" w:rsidP="00406560">
            <w:pPr>
              <w:pStyle w:val="Body"/>
            </w:pPr>
            <w:r>
              <w:t>2.0</w:t>
            </w:r>
          </w:p>
        </w:tc>
        <w:tc>
          <w:tcPr>
            <w:tcW w:w="1701" w:type="dxa"/>
          </w:tcPr>
          <w:p w:rsidR="0067690E" w:rsidRDefault="0067690E" w:rsidP="00406560">
            <w:pPr>
              <w:pStyle w:val="Body"/>
            </w:pPr>
            <w:r>
              <w:t>July 2019</w:t>
            </w:r>
          </w:p>
        </w:tc>
      </w:tr>
    </w:tbl>
    <w:p w:rsidR="0067690E" w:rsidRDefault="0067690E" w:rsidP="0067690E">
      <w:pPr>
        <w:pStyle w:val="Body"/>
      </w:pPr>
    </w:p>
    <w:p w:rsidR="0067690E" w:rsidRDefault="0067690E" w:rsidP="0067690E">
      <w:pPr>
        <w:pStyle w:val="Body"/>
      </w:pPr>
    </w:p>
    <w:p w:rsidR="0067690E" w:rsidRDefault="0067690E">
      <w:pPr>
        <w:widowControl w:val="0"/>
        <w:jc w:val="left"/>
        <w:rPr>
          <w:rFonts w:eastAsia="Arial" w:cs="Arial"/>
        </w:rPr>
      </w:pPr>
      <w:r>
        <w:br w:type="page"/>
      </w:r>
    </w:p>
    <w:p w:rsidR="0067690E" w:rsidRPr="0067690E" w:rsidRDefault="0067690E" w:rsidP="0067690E">
      <w:pPr>
        <w:pStyle w:val="Body"/>
        <w:jc w:val="center"/>
        <w:rPr>
          <w:b/>
          <w:sz w:val="28"/>
          <w:szCs w:val="28"/>
        </w:rPr>
      </w:pPr>
      <w:r w:rsidRPr="0067690E">
        <w:rPr>
          <w:b/>
          <w:sz w:val="28"/>
          <w:szCs w:val="28"/>
        </w:rPr>
        <w:t>CalaChem Pension Fund (DC Section)</w:t>
      </w:r>
    </w:p>
    <w:p w:rsidR="0067690E" w:rsidRDefault="0067690E" w:rsidP="0067690E">
      <w:pPr>
        <w:pStyle w:val="Body"/>
        <w:jc w:val="center"/>
      </w:pPr>
      <w:r>
        <w:t>July 2019</w:t>
      </w:r>
    </w:p>
    <w:p w:rsidR="0067690E" w:rsidRPr="0067690E" w:rsidRDefault="0067690E" w:rsidP="0067690E">
      <w:pPr>
        <w:pStyle w:val="Body"/>
        <w:rPr>
          <w:b/>
          <w:sz w:val="24"/>
          <w:szCs w:val="24"/>
        </w:rPr>
      </w:pPr>
      <w:r w:rsidRPr="0067690E">
        <w:rPr>
          <w:b/>
          <w:sz w:val="24"/>
          <w:szCs w:val="24"/>
        </w:rPr>
        <w:t>Contents</w:t>
      </w:r>
    </w:p>
    <w:p w:rsidR="00F22781" w:rsidRDefault="00F22781">
      <w:pPr>
        <w:pStyle w:val="TOC1"/>
        <w:rPr>
          <w:rFonts w:asciiTheme="minorHAnsi" w:eastAsiaTheme="minorEastAsia" w:hAnsiTheme="minorHAnsi" w:cstheme="minorBidi"/>
          <w:caps w:val="0"/>
          <w:noProof/>
          <w:sz w:val="22"/>
          <w:szCs w:val="22"/>
        </w:rPr>
      </w:pPr>
      <w:r>
        <w:fldChar w:fldCharType="begin"/>
      </w:r>
      <w:r>
        <w:instrText xml:space="preserve"> TOC \f </w:instrText>
      </w:r>
      <w:r>
        <w:fldChar w:fldCharType="separate"/>
      </w:r>
      <w:r>
        <w:rPr>
          <w:noProof/>
        </w:rPr>
        <w:t>1</w:t>
      </w:r>
      <w:r>
        <w:rPr>
          <w:rFonts w:asciiTheme="minorHAnsi" w:eastAsiaTheme="minorEastAsia" w:hAnsiTheme="minorHAnsi" w:cstheme="minorBidi"/>
          <w:caps w:val="0"/>
          <w:noProof/>
          <w:sz w:val="22"/>
          <w:szCs w:val="22"/>
        </w:rPr>
        <w:tab/>
      </w:r>
      <w:r>
        <w:rPr>
          <w:noProof/>
        </w:rPr>
        <w:t>Introduction</w:t>
      </w:r>
      <w:r>
        <w:rPr>
          <w:noProof/>
        </w:rPr>
        <w:tab/>
      </w:r>
      <w:r>
        <w:rPr>
          <w:noProof/>
        </w:rPr>
        <w:fldChar w:fldCharType="begin"/>
      </w:r>
      <w:r>
        <w:rPr>
          <w:noProof/>
        </w:rPr>
        <w:instrText xml:space="preserve"> PAGEREF _Toc17753344 \h </w:instrText>
      </w:r>
      <w:r>
        <w:rPr>
          <w:noProof/>
        </w:rPr>
      </w:r>
      <w:r>
        <w:rPr>
          <w:noProof/>
        </w:rPr>
        <w:fldChar w:fldCharType="separate"/>
      </w:r>
      <w:r>
        <w:rPr>
          <w:noProof/>
        </w:rPr>
        <w:t>4</w:t>
      </w:r>
      <w:r>
        <w:rPr>
          <w:noProof/>
        </w:rPr>
        <w:fldChar w:fldCharType="end"/>
      </w:r>
    </w:p>
    <w:p w:rsidR="00F22781" w:rsidRDefault="00F22781">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Governance</w:t>
      </w:r>
      <w:r>
        <w:rPr>
          <w:noProof/>
        </w:rPr>
        <w:tab/>
      </w:r>
      <w:r>
        <w:rPr>
          <w:noProof/>
        </w:rPr>
        <w:fldChar w:fldCharType="begin"/>
      </w:r>
      <w:r>
        <w:rPr>
          <w:noProof/>
        </w:rPr>
        <w:instrText xml:space="preserve"> PAGEREF _Toc17753345 \h </w:instrText>
      </w:r>
      <w:r>
        <w:rPr>
          <w:noProof/>
        </w:rPr>
      </w:r>
      <w:r>
        <w:rPr>
          <w:noProof/>
        </w:rPr>
        <w:fldChar w:fldCharType="separate"/>
      </w:r>
      <w:r>
        <w:rPr>
          <w:noProof/>
        </w:rPr>
        <w:t>5</w:t>
      </w:r>
      <w:r>
        <w:rPr>
          <w:noProof/>
        </w:rPr>
        <w:fldChar w:fldCharType="end"/>
      </w:r>
    </w:p>
    <w:p w:rsidR="00F22781" w:rsidRDefault="00F22781">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Investment Policies and Objectives</w:t>
      </w:r>
      <w:r>
        <w:rPr>
          <w:noProof/>
        </w:rPr>
        <w:tab/>
      </w:r>
      <w:r>
        <w:rPr>
          <w:noProof/>
        </w:rPr>
        <w:fldChar w:fldCharType="begin"/>
      </w:r>
      <w:r>
        <w:rPr>
          <w:noProof/>
        </w:rPr>
        <w:instrText xml:space="preserve"> PAGEREF _Toc17753346 \h </w:instrText>
      </w:r>
      <w:r>
        <w:rPr>
          <w:noProof/>
        </w:rPr>
      </w:r>
      <w:r>
        <w:rPr>
          <w:noProof/>
        </w:rPr>
        <w:fldChar w:fldCharType="separate"/>
      </w:r>
      <w:r>
        <w:rPr>
          <w:noProof/>
        </w:rPr>
        <w:t>6</w:t>
      </w:r>
      <w:r>
        <w:rPr>
          <w:noProof/>
        </w:rPr>
        <w:fldChar w:fldCharType="end"/>
      </w:r>
    </w:p>
    <w:p w:rsidR="00F22781" w:rsidRDefault="00F22781">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Default Investment Arrangement</w:t>
      </w:r>
      <w:r>
        <w:rPr>
          <w:noProof/>
        </w:rPr>
        <w:tab/>
      </w:r>
      <w:r>
        <w:rPr>
          <w:noProof/>
        </w:rPr>
        <w:fldChar w:fldCharType="begin"/>
      </w:r>
      <w:r>
        <w:rPr>
          <w:noProof/>
        </w:rPr>
        <w:instrText xml:space="preserve"> PAGEREF _Toc17753347 \h </w:instrText>
      </w:r>
      <w:r>
        <w:rPr>
          <w:noProof/>
        </w:rPr>
      </w:r>
      <w:r>
        <w:rPr>
          <w:noProof/>
        </w:rPr>
        <w:fldChar w:fldCharType="separate"/>
      </w:r>
      <w:r>
        <w:rPr>
          <w:noProof/>
        </w:rPr>
        <w:t>7</w:t>
      </w:r>
      <w:r>
        <w:rPr>
          <w:noProof/>
        </w:rPr>
        <w:fldChar w:fldCharType="end"/>
      </w:r>
    </w:p>
    <w:p w:rsidR="00F22781" w:rsidRDefault="00F22781">
      <w:pPr>
        <w:pStyle w:val="TOC1"/>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Investment Strategy</w:t>
      </w:r>
      <w:r>
        <w:rPr>
          <w:noProof/>
        </w:rPr>
        <w:tab/>
      </w:r>
      <w:r>
        <w:rPr>
          <w:noProof/>
        </w:rPr>
        <w:fldChar w:fldCharType="begin"/>
      </w:r>
      <w:r>
        <w:rPr>
          <w:noProof/>
        </w:rPr>
        <w:instrText xml:space="preserve"> PAGEREF _Toc17753348 \h </w:instrText>
      </w:r>
      <w:r>
        <w:rPr>
          <w:noProof/>
        </w:rPr>
      </w:r>
      <w:r>
        <w:rPr>
          <w:noProof/>
        </w:rPr>
        <w:fldChar w:fldCharType="separate"/>
      </w:r>
      <w:r>
        <w:rPr>
          <w:noProof/>
        </w:rPr>
        <w:t>9</w:t>
      </w:r>
      <w:r>
        <w:rPr>
          <w:noProof/>
        </w:rPr>
        <w:fldChar w:fldCharType="end"/>
      </w:r>
    </w:p>
    <w:p w:rsidR="00F22781" w:rsidRDefault="00F22781">
      <w:pPr>
        <w:pStyle w:val="TOC1"/>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Strategy Implementation</w:t>
      </w:r>
      <w:r>
        <w:rPr>
          <w:noProof/>
        </w:rPr>
        <w:tab/>
      </w:r>
      <w:r>
        <w:rPr>
          <w:noProof/>
        </w:rPr>
        <w:fldChar w:fldCharType="begin"/>
      </w:r>
      <w:r>
        <w:rPr>
          <w:noProof/>
        </w:rPr>
        <w:instrText xml:space="preserve"> PAGEREF _Toc17753349 \h </w:instrText>
      </w:r>
      <w:r>
        <w:rPr>
          <w:noProof/>
        </w:rPr>
      </w:r>
      <w:r>
        <w:rPr>
          <w:noProof/>
        </w:rPr>
        <w:fldChar w:fldCharType="separate"/>
      </w:r>
      <w:r>
        <w:rPr>
          <w:noProof/>
        </w:rPr>
        <w:t>11</w:t>
      </w:r>
      <w:r>
        <w:rPr>
          <w:noProof/>
        </w:rPr>
        <w:fldChar w:fldCharType="end"/>
      </w:r>
    </w:p>
    <w:p w:rsidR="00F22781" w:rsidRDefault="00F22781">
      <w:pPr>
        <w:pStyle w:val="TOC1"/>
        <w:rPr>
          <w:rFonts w:asciiTheme="minorHAnsi" w:eastAsiaTheme="minorEastAsia" w:hAnsiTheme="minorHAnsi" w:cstheme="minorBidi"/>
          <w:caps w:val="0"/>
          <w:noProof/>
          <w:sz w:val="22"/>
          <w:szCs w:val="22"/>
        </w:rPr>
      </w:pPr>
      <w:r>
        <w:rPr>
          <w:noProof/>
        </w:rPr>
        <w:t>7</w:t>
      </w:r>
      <w:r>
        <w:rPr>
          <w:rFonts w:asciiTheme="minorHAnsi" w:eastAsiaTheme="minorEastAsia" w:hAnsiTheme="minorHAnsi" w:cstheme="minorBidi"/>
          <w:caps w:val="0"/>
          <w:noProof/>
          <w:sz w:val="22"/>
          <w:szCs w:val="22"/>
        </w:rPr>
        <w:tab/>
      </w:r>
      <w:r>
        <w:rPr>
          <w:noProof/>
        </w:rPr>
        <w:t>Monitoring</w:t>
      </w:r>
      <w:r>
        <w:rPr>
          <w:noProof/>
        </w:rPr>
        <w:tab/>
      </w:r>
      <w:r>
        <w:rPr>
          <w:noProof/>
        </w:rPr>
        <w:fldChar w:fldCharType="begin"/>
      </w:r>
      <w:r>
        <w:rPr>
          <w:noProof/>
        </w:rPr>
        <w:instrText xml:space="preserve"> PAGEREF _Toc17753350 \h </w:instrText>
      </w:r>
      <w:r>
        <w:rPr>
          <w:noProof/>
        </w:rPr>
      </w:r>
      <w:r>
        <w:rPr>
          <w:noProof/>
        </w:rPr>
        <w:fldChar w:fldCharType="separate"/>
      </w:r>
      <w:r>
        <w:rPr>
          <w:noProof/>
        </w:rPr>
        <w:t>12</w:t>
      </w:r>
      <w:r>
        <w:rPr>
          <w:noProof/>
        </w:rPr>
        <w:fldChar w:fldCharType="end"/>
      </w:r>
    </w:p>
    <w:p w:rsidR="00F22781" w:rsidRDefault="00F22781">
      <w:pPr>
        <w:pStyle w:val="TOC1"/>
        <w:rPr>
          <w:rFonts w:asciiTheme="minorHAnsi" w:eastAsiaTheme="minorEastAsia" w:hAnsiTheme="minorHAnsi" w:cstheme="minorBidi"/>
          <w:caps w:val="0"/>
          <w:noProof/>
          <w:sz w:val="22"/>
          <w:szCs w:val="22"/>
        </w:rPr>
      </w:pPr>
      <w:r>
        <w:rPr>
          <w:noProof/>
        </w:rPr>
        <w:t>8</w:t>
      </w:r>
      <w:r>
        <w:rPr>
          <w:rFonts w:asciiTheme="minorHAnsi" w:eastAsiaTheme="minorEastAsia" w:hAnsiTheme="minorHAnsi" w:cstheme="minorBidi"/>
          <w:caps w:val="0"/>
          <w:noProof/>
          <w:sz w:val="22"/>
          <w:szCs w:val="22"/>
        </w:rPr>
        <w:tab/>
      </w:r>
      <w:r>
        <w:rPr>
          <w:noProof/>
        </w:rPr>
        <w:t>Fees</w:t>
      </w:r>
      <w:r>
        <w:rPr>
          <w:noProof/>
        </w:rPr>
        <w:tab/>
      </w:r>
      <w:r>
        <w:rPr>
          <w:noProof/>
        </w:rPr>
        <w:fldChar w:fldCharType="begin"/>
      </w:r>
      <w:r>
        <w:rPr>
          <w:noProof/>
        </w:rPr>
        <w:instrText xml:space="preserve"> PAGEREF _Toc17753351 \h </w:instrText>
      </w:r>
      <w:r>
        <w:rPr>
          <w:noProof/>
        </w:rPr>
      </w:r>
      <w:r>
        <w:rPr>
          <w:noProof/>
        </w:rPr>
        <w:fldChar w:fldCharType="separate"/>
      </w:r>
      <w:r>
        <w:rPr>
          <w:noProof/>
        </w:rPr>
        <w:t>14</w:t>
      </w:r>
      <w:r>
        <w:rPr>
          <w:noProof/>
        </w:rPr>
        <w:fldChar w:fldCharType="end"/>
      </w:r>
    </w:p>
    <w:p w:rsidR="00F22781" w:rsidRDefault="00F22781">
      <w:pPr>
        <w:pStyle w:val="TOC1"/>
        <w:rPr>
          <w:rFonts w:asciiTheme="minorHAnsi" w:eastAsiaTheme="minorEastAsia" w:hAnsiTheme="minorHAnsi" w:cstheme="minorBidi"/>
          <w:caps w:val="0"/>
          <w:noProof/>
          <w:sz w:val="22"/>
          <w:szCs w:val="22"/>
        </w:rPr>
      </w:pPr>
      <w:r>
        <w:rPr>
          <w:noProof/>
        </w:rPr>
        <w:t>9</w:t>
      </w:r>
      <w:r>
        <w:rPr>
          <w:rFonts w:asciiTheme="minorHAnsi" w:eastAsiaTheme="minorEastAsia" w:hAnsiTheme="minorHAnsi" w:cstheme="minorBidi"/>
          <w:caps w:val="0"/>
          <w:noProof/>
          <w:sz w:val="22"/>
          <w:szCs w:val="22"/>
        </w:rPr>
        <w:tab/>
      </w:r>
      <w:r>
        <w:rPr>
          <w:noProof/>
        </w:rPr>
        <w:t>Risks</w:t>
      </w:r>
      <w:r>
        <w:rPr>
          <w:noProof/>
        </w:rPr>
        <w:tab/>
      </w:r>
      <w:r>
        <w:rPr>
          <w:noProof/>
        </w:rPr>
        <w:fldChar w:fldCharType="begin"/>
      </w:r>
      <w:r>
        <w:rPr>
          <w:noProof/>
        </w:rPr>
        <w:instrText xml:space="preserve"> PAGEREF _Toc17753352 \h </w:instrText>
      </w:r>
      <w:r>
        <w:rPr>
          <w:noProof/>
        </w:rPr>
      </w:r>
      <w:r>
        <w:rPr>
          <w:noProof/>
        </w:rPr>
        <w:fldChar w:fldCharType="separate"/>
      </w:r>
      <w:r>
        <w:rPr>
          <w:noProof/>
        </w:rPr>
        <w:t>15</w:t>
      </w:r>
      <w:r>
        <w:rPr>
          <w:noProof/>
        </w:rPr>
        <w:fldChar w:fldCharType="end"/>
      </w:r>
    </w:p>
    <w:p w:rsidR="00F22781" w:rsidRDefault="00F22781">
      <w:pPr>
        <w:pStyle w:val="TOC1"/>
        <w:rPr>
          <w:rFonts w:asciiTheme="minorHAnsi" w:eastAsiaTheme="minorEastAsia" w:hAnsiTheme="minorHAnsi" w:cstheme="minorBidi"/>
          <w:caps w:val="0"/>
          <w:noProof/>
          <w:sz w:val="22"/>
          <w:szCs w:val="22"/>
        </w:rPr>
      </w:pPr>
      <w:r>
        <w:rPr>
          <w:noProof/>
        </w:rPr>
        <w:t>10</w:t>
      </w:r>
      <w:r>
        <w:rPr>
          <w:rFonts w:asciiTheme="minorHAnsi" w:eastAsiaTheme="minorEastAsia" w:hAnsiTheme="minorHAnsi" w:cstheme="minorBidi"/>
          <w:caps w:val="0"/>
          <w:noProof/>
          <w:sz w:val="22"/>
          <w:szCs w:val="22"/>
        </w:rPr>
        <w:tab/>
      </w:r>
      <w:r>
        <w:rPr>
          <w:noProof/>
        </w:rPr>
        <w:t>Other Risks</w:t>
      </w:r>
      <w:r>
        <w:rPr>
          <w:noProof/>
        </w:rPr>
        <w:tab/>
      </w:r>
      <w:r>
        <w:rPr>
          <w:noProof/>
        </w:rPr>
        <w:fldChar w:fldCharType="begin"/>
      </w:r>
      <w:r>
        <w:rPr>
          <w:noProof/>
        </w:rPr>
        <w:instrText xml:space="preserve"> PAGEREF _Toc17753353 \h </w:instrText>
      </w:r>
      <w:r>
        <w:rPr>
          <w:noProof/>
        </w:rPr>
      </w:r>
      <w:r>
        <w:rPr>
          <w:noProof/>
        </w:rPr>
        <w:fldChar w:fldCharType="separate"/>
      </w:r>
      <w:r>
        <w:rPr>
          <w:noProof/>
        </w:rPr>
        <w:t>18</w:t>
      </w:r>
      <w:r>
        <w:rPr>
          <w:noProof/>
        </w:rPr>
        <w:fldChar w:fldCharType="end"/>
      </w:r>
    </w:p>
    <w:p w:rsidR="00F22781" w:rsidRDefault="00F22781">
      <w:pPr>
        <w:pStyle w:val="TOC1"/>
        <w:rPr>
          <w:rFonts w:asciiTheme="minorHAnsi" w:eastAsiaTheme="minorEastAsia" w:hAnsiTheme="minorHAnsi" w:cstheme="minorBidi"/>
          <w:caps w:val="0"/>
          <w:noProof/>
          <w:sz w:val="22"/>
          <w:szCs w:val="22"/>
        </w:rPr>
      </w:pPr>
      <w:r>
        <w:rPr>
          <w:noProof/>
        </w:rPr>
        <w:t>Appendix A - Responsibilities</w:t>
      </w:r>
      <w:r>
        <w:rPr>
          <w:noProof/>
        </w:rPr>
        <w:tab/>
      </w:r>
      <w:r>
        <w:rPr>
          <w:noProof/>
        </w:rPr>
        <w:fldChar w:fldCharType="begin"/>
      </w:r>
      <w:r>
        <w:rPr>
          <w:noProof/>
        </w:rPr>
        <w:instrText xml:space="preserve"> PAGEREF _Toc17753354 \h </w:instrText>
      </w:r>
      <w:r>
        <w:rPr>
          <w:noProof/>
        </w:rPr>
      </w:r>
      <w:r>
        <w:rPr>
          <w:noProof/>
        </w:rPr>
        <w:fldChar w:fldCharType="separate"/>
      </w:r>
      <w:r>
        <w:rPr>
          <w:noProof/>
        </w:rPr>
        <w:t>19</w:t>
      </w:r>
      <w:r>
        <w:rPr>
          <w:noProof/>
        </w:rPr>
        <w:fldChar w:fldCharType="end"/>
      </w:r>
    </w:p>
    <w:p w:rsidR="00F22781" w:rsidRDefault="00F22781">
      <w:pPr>
        <w:pStyle w:val="TOC1"/>
        <w:rPr>
          <w:rFonts w:asciiTheme="minorHAnsi" w:eastAsiaTheme="minorEastAsia" w:hAnsiTheme="minorHAnsi" w:cstheme="minorBidi"/>
          <w:caps w:val="0"/>
          <w:noProof/>
          <w:sz w:val="22"/>
          <w:szCs w:val="22"/>
        </w:rPr>
      </w:pPr>
      <w:r>
        <w:rPr>
          <w:noProof/>
        </w:rPr>
        <w:t>Appendix B - Investment options</w:t>
      </w:r>
      <w:r>
        <w:rPr>
          <w:noProof/>
        </w:rPr>
        <w:tab/>
      </w:r>
      <w:r>
        <w:rPr>
          <w:noProof/>
        </w:rPr>
        <w:fldChar w:fldCharType="begin"/>
      </w:r>
      <w:r>
        <w:rPr>
          <w:noProof/>
        </w:rPr>
        <w:instrText xml:space="preserve"> PAGEREF _Toc17753355 \h </w:instrText>
      </w:r>
      <w:r>
        <w:rPr>
          <w:noProof/>
        </w:rPr>
      </w:r>
      <w:r>
        <w:rPr>
          <w:noProof/>
        </w:rPr>
        <w:fldChar w:fldCharType="separate"/>
      </w:r>
      <w:r>
        <w:rPr>
          <w:noProof/>
        </w:rPr>
        <w:t>21</w:t>
      </w:r>
      <w:r>
        <w:rPr>
          <w:noProof/>
        </w:rPr>
        <w:fldChar w:fldCharType="end"/>
      </w:r>
    </w:p>
    <w:p w:rsidR="00F22781" w:rsidRDefault="00F22781">
      <w:pPr>
        <w:pStyle w:val="TOC1"/>
        <w:rPr>
          <w:rFonts w:asciiTheme="minorHAnsi" w:eastAsiaTheme="minorEastAsia" w:hAnsiTheme="minorHAnsi" w:cstheme="minorBidi"/>
          <w:caps w:val="0"/>
          <w:noProof/>
          <w:sz w:val="22"/>
          <w:szCs w:val="22"/>
        </w:rPr>
      </w:pPr>
      <w:r>
        <w:rPr>
          <w:noProof/>
        </w:rPr>
        <w:t>Appendix C - Lifestyle arrangement age matrix</w:t>
      </w:r>
      <w:r>
        <w:rPr>
          <w:noProof/>
        </w:rPr>
        <w:tab/>
      </w:r>
      <w:r>
        <w:rPr>
          <w:noProof/>
        </w:rPr>
        <w:fldChar w:fldCharType="begin"/>
      </w:r>
      <w:r>
        <w:rPr>
          <w:noProof/>
        </w:rPr>
        <w:instrText xml:space="preserve"> PAGEREF _Toc17753356 \h </w:instrText>
      </w:r>
      <w:r>
        <w:rPr>
          <w:noProof/>
        </w:rPr>
      </w:r>
      <w:r>
        <w:rPr>
          <w:noProof/>
        </w:rPr>
        <w:fldChar w:fldCharType="separate"/>
      </w:r>
      <w:r>
        <w:rPr>
          <w:noProof/>
        </w:rPr>
        <w:t>25</w:t>
      </w:r>
      <w:r>
        <w:rPr>
          <w:noProof/>
        </w:rPr>
        <w:fldChar w:fldCharType="end"/>
      </w:r>
    </w:p>
    <w:p w:rsidR="0067690E" w:rsidRDefault="00F22781" w:rsidP="0067690E">
      <w:pPr>
        <w:pStyle w:val="Body"/>
      </w:pPr>
      <w:r>
        <w:rPr>
          <w:rFonts w:eastAsia="Times New Roman"/>
        </w:rPr>
        <w:fldChar w:fldCharType="end"/>
      </w:r>
    </w:p>
    <w:p w:rsidR="0067690E" w:rsidRDefault="0067690E" w:rsidP="0067690E">
      <w:pPr>
        <w:pStyle w:val="Body"/>
      </w:pPr>
    </w:p>
    <w:p w:rsidR="0067690E" w:rsidRDefault="0067690E" w:rsidP="0067690E">
      <w:pPr>
        <w:pStyle w:val="Body"/>
        <w:sectPr w:rsidR="0067690E" w:rsidSect="0067690E">
          <w:headerReference w:type="default" r:id="rId9"/>
          <w:footerReference w:type="default" r:id="rId10"/>
          <w:pgSz w:w="11909" w:h="16834"/>
          <w:pgMar w:top="1418" w:right="1134" w:bottom="1418" w:left="1134" w:header="567" w:footer="567" w:gutter="0"/>
          <w:cols w:space="720"/>
          <w:noEndnote/>
          <w:docGrid w:linePitch="360"/>
        </w:sectPr>
      </w:pPr>
    </w:p>
    <w:p w:rsidR="00542443" w:rsidRPr="00E03522" w:rsidRDefault="00F22781" w:rsidP="0067690E">
      <w:pPr>
        <w:pStyle w:val="Level1"/>
        <w:spacing w:after="120"/>
      </w:pPr>
      <w:r>
        <w:rPr>
          <w:rStyle w:val="Level1asHeadingtext"/>
        </w:rPr>
        <w:fldChar w:fldCharType="begin"/>
      </w:r>
      <w:r w:rsidRPr="00F22781">
        <w:instrText xml:space="preserve">  TC "</w:instrText>
      </w:r>
      <w:r>
        <w:fldChar w:fldCharType="begin"/>
      </w:r>
      <w:r w:rsidRPr="00F22781">
        <w:instrText xml:space="preserve"> REF _Ref437039686 \r </w:instrText>
      </w:r>
      <w:r>
        <w:fldChar w:fldCharType="separate"/>
      </w:r>
      <w:bookmarkStart w:id="1" w:name="_Toc17753344"/>
      <w:r>
        <w:instrText>1</w:instrText>
      </w:r>
      <w:r>
        <w:fldChar w:fldCharType="end"/>
      </w:r>
      <w:r>
        <w:tab/>
        <w:instrText>Introduction</w:instrText>
      </w:r>
      <w:bookmarkEnd w:id="1"/>
      <w:r w:rsidRPr="00F22781">
        <w:instrText xml:space="preserve">" \l1 </w:instrText>
      </w:r>
      <w:r>
        <w:rPr>
          <w:rStyle w:val="Level1asHeadingtext"/>
        </w:rPr>
        <w:fldChar w:fldCharType="end"/>
      </w:r>
      <w:bookmarkStart w:id="2" w:name="_Ref437039686"/>
      <w:r w:rsidR="000C452A" w:rsidRPr="00E01799">
        <w:rPr>
          <w:rStyle w:val="Level1asHeadingtext"/>
        </w:rPr>
        <w:t>Introduction</w:t>
      </w:r>
      <w:bookmarkEnd w:id="2"/>
    </w:p>
    <w:p w:rsidR="00542443" w:rsidRPr="000C452A" w:rsidRDefault="00C13A3C" w:rsidP="000C452A">
      <w:pPr>
        <w:pStyle w:val="Body1"/>
      </w:pPr>
      <w:r w:rsidRPr="000C452A">
        <w:t>This document constitutes the Statement of Investment Principles (the "</w:t>
      </w:r>
      <w:r w:rsidRPr="00E03522">
        <w:rPr>
          <w:b/>
        </w:rPr>
        <w:t>SIP</w:t>
      </w:r>
      <w:r w:rsidRPr="000C452A">
        <w:t>") required under Section 35 of the Pensions Act 1995 for the DC section of the CalaChem Pension Fund (the "</w:t>
      </w:r>
      <w:r w:rsidRPr="00E03522">
        <w:rPr>
          <w:b/>
        </w:rPr>
        <w:t>Fund</w:t>
      </w:r>
      <w:r w:rsidRPr="000C452A">
        <w:t>"). It describes the investment policy being pursued for</w:t>
      </w:r>
      <w:r w:rsidR="00E03522">
        <w:t xml:space="preserve"> </w:t>
      </w:r>
      <w:r w:rsidRPr="000C452A">
        <w:t>the Fund by the Directors of CalaChem Pension Trustees Limited (the "</w:t>
      </w:r>
      <w:r w:rsidRPr="00E03522">
        <w:rPr>
          <w:b/>
        </w:rPr>
        <w:t>Trustees</w:t>
      </w:r>
      <w:r w:rsidRPr="000C452A">
        <w:t>") and is in compliance with the Government's voluntary code of conduct for Institutional Investment in the UK (the "2001 Myners Principles" and subsequent revisions). This SIP also reflects the requirements of Occupational Pension Schemes (Investment) Regulations 2005, the Occupational Pension Schemes (Charges and Governance) Regulations 2015 and the Code of Practice in relation to governance of DC pension schemes issued by the Pensions Regulator in July 2016 (as amended), along with any associated guidance.</w:t>
      </w:r>
    </w:p>
    <w:p w:rsidR="00542443" w:rsidRPr="00E03522" w:rsidRDefault="00C13A3C" w:rsidP="00E03522">
      <w:pPr>
        <w:pStyle w:val="Body1"/>
      </w:pPr>
      <w:r w:rsidRPr="00E03522">
        <w:t>The Trustees confirm that, before preparing this SIP, they have consulted with CalaChem Limited (the "</w:t>
      </w:r>
      <w:r w:rsidRPr="00E03522">
        <w:rPr>
          <w:b/>
        </w:rPr>
        <w:t>Employer</w:t>
      </w:r>
      <w:r w:rsidRPr="00E03522">
        <w:t>") and taken appropriate advice from their Advisors. The Investment Advisor is River and Mercantile ("</w:t>
      </w:r>
      <w:r w:rsidRPr="00E03522">
        <w:rPr>
          <w:b/>
        </w:rPr>
        <w:t>R&amp;M</w:t>
      </w:r>
      <w:r w:rsidRPr="00E03522">
        <w:t>") Investments Limited and the Legal Advisor is Mayer Brown, collectively termed the "</w:t>
      </w:r>
      <w:r w:rsidRPr="00E03522">
        <w:rPr>
          <w:b/>
        </w:rPr>
        <w:t>Advisors</w:t>
      </w:r>
      <w:r w:rsidRPr="00E03522">
        <w:t>".</w:t>
      </w:r>
    </w:p>
    <w:p w:rsidR="00542443" w:rsidRPr="00E03522" w:rsidRDefault="00C13A3C" w:rsidP="00E03522">
      <w:pPr>
        <w:pStyle w:val="Body1"/>
      </w:pPr>
      <w:r w:rsidRPr="00E03522">
        <w:t>The Trustees believe the Advisors to be qualified by their</w:t>
      </w:r>
      <w:r w:rsidR="00E03522">
        <w:t xml:space="preserve"> </w:t>
      </w:r>
      <w:r w:rsidRPr="00E03522">
        <w:t>ability and practical experience of financial matters and to have appropriate knowledge, and experience of the management of the investment arrangements that the Fund requires. The Trustees also confirm that they will consult with the Employer and take advice from the relevant Advisors as part of any review of this SIP.</w:t>
      </w:r>
    </w:p>
    <w:p w:rsidR="00542443" w:rsidRPr="00E03522" w:rsidRDefault="00C13A3C" w:rsidP="00E03522">
      <w:pPr>
        <w:pStyle w:val="Body1"/>
      </w:pPr>
      <w:r w:rsidRPr="00E03522">
        <w:t>The Trustees are responsible for</w:t>
      </w:r>
      <w:r w:rsidR="00E03522">
        <w:t xml:space="preserve"> </w:t>
      </w:r>
      <w:r w:rsidRPr="00E03522">
        <w:t>the strategic decisions regarding the investment of the Fund's assets, but the day-to-day management has been delegated to the Platform Manager (who provides the infrastructure for members to make investments - the "</w:t>
      </w:r>
      <w:r w:rsidRPr="00E03522">
        <w:rPr>
          <w:b/>
        </w:rPr>
        <w:t>Platform</w:t>
      </w:r>
      <w:r w:rsidRPr="00E03522">
        <w:t xml:space="preserve">") and the underlying investment managers, detailed in </w:t>
      </w:r>
      <w:r w:rsidRPr="00E03522">
        <w:rPr>
          <w:b/>
        </w:rPr>
        <w:t>Appendix B</w:t>
      </w:r>
      <w:r w:rsidRPr="00E03522">
        <w:t>. Where they are required to make an investment decision, the Trustees always receive advice from the relevant Advisors first and they believe that this ensures that they are appropriately familiar with the issues concerned.</w:t>
      </w:r>
    </w:p>
    <w:p w:rsidR="00542443" w:rsidRDefault="00C13A3C" w:rsidP="00E03522">
      <w:pPr>
        <w:pStyle w:val="Body1"/>
      </w:pPr>
      <w:r w:rsidRPr="00E03522">
        <w:t>In accordance with the Financial Services &amp; Markets Act 2000, the Trustees set general investment policy, but have delegated the day-to-day investment of the Fund's assets to professional fund managers (the "</w:t>
      </w:r>
      <w:r w:rsidRPr="00E01799">
        <w:rPr>
          <w:b/>
        </w:rPr>
        <w:t>Managers</w:t>
      </w:r>
      <w:r w:rsidRPr="00E03522">
        <w:t>") in accordance with Section 34(2) of the Pensions Act 1995. The Managers are authorised under the Financial Services &amp; Markets Act 2000, provide the expertise necessary to manage the investments of the Fund competently and will comply with the requirements of Section 36 of the Pensions Act 1995.</w:t>
      </w:r>
    </w:p>
    <w:p w:rsidR="00E03522" w:rsidRPr="00E03522" w:rsidRDefault="00E03522" w:rsidP="0067690E">
      <w:pPr>
        <w:pStyle w:val="Level2"/>
        <w:spacing w:after="120"/>
        <w:rPr>
          <w:rStyle w:val="Level2asHeadingtext"/>
          <w:b w:val="0"/>
          <w:bCs w:val="0"/>
        </w:rPr>
      </w:pPr>
      <w:bookmarkStart w:id="3" w:name="bookmark1"/>
      <w:r>
        <w:rPr>
          <w:rStyle w:val="Level2asHeadingtext"/>
        </w:rPr>
        <w:t>Declaration</w:t>
      </w:r>
      <w:bookmarkEnd w:id="3"/>
    </w:p>
    <w:p w:rsidR="00E03522" w:rsidRDefault="00E01799" w:rsidP="00E01799">
      <w:pPr>
        <w:pStyle w:val="Body1"/>
      </w:pPr>
      <w:r w:rsidRPr="00E01799">
        <w:t>The Trustees acknowledges that it is their responsibility, with guidance from the Advisors, to ensure the assets of the Fund are invested in accordance with these Principles.</w:t>
      </w:r>
    </w:p>
    <w:p w:rsidR="00E01799" w:rsidRPr="00E01799" w:rsidRDefault="00E01799" w:rsidP="00E01799">
      <w:pPr>
        <w:pStyle w:val="Body1"/>
        <w:spacing w:after="0"/>
        <w:rPr>
          <w:b/>
        </w:rPr>
      </w:pPr>
      <w:r w:rsidRPr="00E01799">
        <w:rPr>
          <w:b/>
        </w:rPr>
        <w:lastRenderedPageBreak/>
        <w:t>Signed ……………………………………………..</w:t>
      </w:r>
      <w:r w:rsidRPr="00E01799">
        <w:rPr>
          <w:b/>
        </w:rPr>
        <w:tab/>
        <w:t>Date ………………………………</w:t>
      </w:r>
    </w:p>
    <w:p w:rsidR="00E01799" w:rsidRDefault="00E01799" w:rsidP="00112DE1">
      <w:pPr>
        <w:pStyle w:val="Body1"/>
      </w:pPr>
      <w:r w:rsidRPr="00E01799">
        <w:rPr>
          <w:b/>
        </w:rPr>
        <w:t>For and on behalf of the Trustees of the CalaChem Pension Fund.</w:t>
      </w:r>
      <w:r>
        <w:br w:type="page"/>
      </w:r>
    </w:p>
    <w:p w:rsidR="00E01799" w:rsidRPr="00E01799" w:rsidRDefault="00F22781" w:rsidP="00E01799">
      <w:pPr>
        <w:pStyle w:val="Level1"/>
        <w:keepNext/>
        <w:rPr>
          <w:rStyle w:val="Level1asHeadingtext"/>
          <w:b w:val="0"/>
          <w:bCs w:val="0"/>
          <w:color w:val="auto"/>
          <w:sz w:val="20"/>
        </w:rPr>
      </w:pPr>
      <w:r>
        <w:rPr>
          <w:rStyle w:val="Level1asHeadingtext"/>
        </w:rPr>
        <w:lastRenderedPageBreak/>
        <w:fldChar w:fldCharType="begin"/>
      </w:r>
      <w:r w:rsidRPr="00F22781">
        <w:instrText xml:space="preserve">  TC "</w:instrText>
      </w:r>
      <w:r>
        <w:fldChar w:fldCharType="begin"/>
      </w:r>
      <w:r w:rsidRPr="00F22781">
        <w:instrText xml:space="preserve"> REF _Ref437039810 \r </w:instrText>
      </w:r>
      <w:r>
        <w:fldChar w:fldCharType="separate"/>
      </w:r>
      <w:bookmarkStart w:id="4" w:name="_Toc17753345"/>
      <w:r>
        <w:instrText>2</w:instrText>
      </w:r>
      <w:r>
        <w:fldChar w:fldCharType="end"/>
      </w:r>
      <w:r>
        <w:tab/>
        <w:instrText>Governance</w:instrText>
      </w:r>
      <w:bookmarkEnd w:id="4"/>
      <w:r w:rsidRPr="00F22781">
        <w:instrText xml:space="preserve">" \l1 </w:instrText>
      </w:r>
      <w:r>
        <w:rPr>
          <w:rStyle w:val="Level1asHeadingtext"/>
        </w:rPr>
        <w:fldChar w:fldCharType="end"/>
      </w:r>
      <w:bookmarkStart w:id="5" w:name="_Ref437039810"/>
      <w:r w:rsidR="00E01799">
        <w:rPr>
          <w:rStyle w:val="Level1asHeadingtext"/>
        </w:rPr>
        <w:t>Governance</w:t>
      </w:r>
      <w:bookmarkEnd w:id="5"/>
    </w:p>
    <w:p w:rsidR="00E01799" w:rsidRPr="00E01799" w:rsidRDefault="00E01799" w:rsidP="00E01799">
      <w:pPr>
        <w:pStyle w:val="Body1"/>
      </w:pPr>
      <w:r w:rsidRPr="00E01799">
        <w:t xml:space="preserve">The Trustees are responsible for the governance and investment of the Fund's assets. They consider that the investment policies and arrangements set out in this SIP are appropriate for the Fund, as they allow the Trustees to make the important decisions on investment policies, while delegating the day-to-day implementation of those policies to the Managers, the Platform Manager or the relevant Advisors as appropriate. The responsibilities of each of the parties involved in the Fund's governance are detailed in </w:t>
      </w:r>
      <w:r w:rsidRPr="00E01799">
        <w:rPr>
          <w:b/>
        </w:rPr>
        <w:t>Appendix A</w:t>
      </w:r>
      <w:r w:rsidRPr="00E01799">
        <w:t>.</w:t>
      </w:r>
    </w:p>
    <w:p w:rsidR="00112DE1" w:rsidRDefault="00E01799" w:rsidP="00112DE1">
      <w:pPr>
        <w:pStyle w:val="Body1"/>
      </w:pPr>
      <w:r w:rsidRPr="00E01799">
        <w:t>The Trustees acknowledge responsibility for any decisions or actions taken by any sub-committee</w:t>
      </w:r>
      <w:r w:rsidR="00112DE1">
        <w:t>.</w:t>
      </w:r>
    </w:p>
    <w:p w:rsidR="00E7475A" w:rsidRDefault="00E7475A" w:rsidP="00E7475A">
      <w:pPr>
        <w:pStyle w:val="Body"/>
      </w:pPr>
    </w:p>
    <w:p w:rsidR="00542443" w:rsidRDefault="00E7475A" w:rsidP="00E7475A">
      <w:pPr>
        <w:pStyle w:val="Level1"/>
        <w:keepNext/>
      </w:pPr>
      <w:r w:rsidRPr="00E7475A">
        <w:rPr>
          <w:rStyle w:val="Level1asHeadingtext"/>
        </w:rPr>
        <w:br w:type="page"/>
      </w:r>
      <w:r w:rsidR="00F22781">
        <w:rPr>
          <w:rStyle w:val="Level1asHeadingtext"/>
        </w:rPr>
        <w:lastRenderedPageBreak/>
        <w:fldChar w:fldCharType="begin"/>
      </w:r>
      <w:r w:rsidR="00F22781" w:rsidRPr="00F22781">
        <w:instrText xml:space="preserve">  TC "</w:instrText>
      </w:r>
      <w:r w:rsidR="00F22781">
        <w:fldChar w:fldCharType="begin"/>
      </w:r>
      <w:r w:rsidR="00F22781" w:rsidRPr="00F22781">
        <w:instrText xml:space="preserve"> REF _Ref437039857 \r </w:instrText>
      </w:r>
      <w:r w:rsidR="00F22781">
        <w:fldChar w:fldCharType="separate"/>
      </w:r>
      <w:bookmarkStart w:id="6" w:name="_Toc17753346"/>
      <w:r w:rsidR="00F22781">
        <w:instrText>3</w:instrText>
      </w:r>
      <w:r w:rsidR="00F22781">
        <w:fldChar w:fldCharType="end"/>
      </w:r>
      <w:r w:rsidR="00F22781">
        <w:tab/>
        <w:instrText>Investment Policies and Objectives</w:instrText>
      </w:r>
      <w:bookmarkEnd w:id="6"/>
      <w:r w:rsidR="00F22781" w:rsidRPr="00F22781">
        <w:instrText xml:space="preserve">" \l1 </w:instrText>
      </w:r>
      <w:r w:rsidR="00F22781">
        <w:rPr>
          <w:rStyle w:val="Level1asHeadingtext"/>
        </w:rPr>
        <w:fldChar w:fldCharType="end"/>
      </w:r>
      <w:bookmarkStart w:id="7" w:name="bookmark3"/>
      <w:bookmarkStart w:id="8" w:name="_Ref437039857"/>
      <w:r w:rsidR="00C13A3C" w:rsidRPr="00E7475A">
        <w:rPr>
          <w:rStyle w:val="Level1asHeadingtext"/>
        </w:rPr>
        <w:t>Investment Policies and Objectives</w:t>
      </w:r>
      <w:bookmarkEnd w:id="7"/>
      <w:bookmarkEnd w:id="8"/>
    </w:p>
    <w:p w:rsidR="00542443" w:rsidRPr="00112DE1" w:rsidRDefault="00C13A3C" w:rsidP="00112DE1">
      <w:pPr>
        <w:pStyle w:val="Body1"/>
      </w:pPr>
      <w:r w:rsidRPr="00112DE1">
        <w:t>The Trustees recognise that members have differing investment needs and that these may change during the course of members' working lives. They also recognise that members have different attitudes to risk. The Trustees regard their duty as creating a robust default investment arrangement which is appropriate for</w:t>
      </w:r>
      <w:r w:rsidR="00112DE1">
        <w:t xml:space="preserve"> </w:t>
      </w:r>
      <w:r w:rsidRPr="00112DE1">
        <w:t>those members who do not actively managing their pension investments. This default arrangement is designed to meet needs and provide good outcomes for members who do not make their own investment decisions.</w:t>
      </w:r>
    </w:p>
    <w:p w:rsidR="00542443" w:rsidRPr="00112DE1" w:rsidRDefault="00C13A3C" w:rsidP="00112DE1">
      <w:pPr>
        <w:pStyle w:val="Body1"/>
      </w:pPr>
      <w:r w:rsidRPr="00112DE1">
        <w:t>The Trustees also adhere to making available a range of investment options (managed by high quality investment managers) sufficient to enable members who so choose, to tailor their investment strategy to their own needs.</w:t>
      </w:r>
    </w:p>
    <w:p w:rsidR="00542443" w:rsidRPr="00112DE1" w:rsidRDefault="00C13A3C" w:rsidP="00112DE1">
      <w:pPr>
        <w:pStyle w:val="Body1"/>
      </w:pPr>
      <w:r w:rsidRPr="00112DE1">
        <w:t>The Trustees' polici</w:t>
      </w:r>
      <w:r w:rsidR="00112DE1">
        <w:t>es and objectives are therefore:</w:t>
      </w:r>
    </w:p>
    <w:p w:rsidR="00542443" w:rsidRPr="00112DE1" w:rsidRDefault="00C13A3C" w:rsidP="00112DE1">
      <w:pPr>
        <w:pStyle w:val="Bullet2"/>
      </w:pPr>
      <w:r w:rsidRPr="00112DE1">
        <w:t>To provide members with a robust default "Lifestyle" investment strategy which is designed to focus on members' needs by aiming to:</w:t>
      </w:r>
    </w:p>
    <w:p w:rsidR="00542443" w:rsidRPr="00112DE1" w:rsidRDefault="00C13A3C" w:rsidP="00112DE1">
      <w:pPr>
        <w:pStyle w:val="Bullet3"/>
      </w:pPr>
      <w:r w:rsidRPr="00112DE1">
        <w:t>Optimise the value of members' assets at retirement;</w:t>
      </w:r>
    </w:p>
    <w:p w:rsidR="00532FE5" w:rsidRDefault="00C13A3C" w:rsidP="00532FE5">
      <w:pPr>
        <w:pStyle w:val="Bullet3"/>
      </w:pPr>
      <w:r w:rsidRPr="00112DE1">
        <w:t>Maintain the purchasing power of members' savings; and</w:t>
      </w:r>
    </w:p>
    <w:p w:rsidR="00532FE5" w:rsidRPr="00532FE5" w:rsidRDefault="00532FE5" w:rsidP="00532FE5">
      <w:pPr>
        <w:pStyle w:val="Bullet3"/>
      </w:pPr>
      <w:r w:rsidRPr="00532FE5">
        <w:t>Protect the value of accumulated assets as members approach retirement.</w:t>
      </w:r>
    </w:p>
    <w:p w:rsidR="00532FE5" w:rsidRPr="00532FE5" w:rsidRDefault="00532FE5" w:rsidP="00532FE5">
      <w:pPr>
        <w:pStyle w:val="Bullet2"/>
      </w:pPr>
      <w:r w:rsidRPr="00532FE5">
        <w:t>To provide members with a range of "Self-Select" investment options, to enable them to tailor their investment strategy to their own needs, if they do not wish to remain in the default solution.</w:t>
      </w:r>
    </w:p>
    <w:p w:rsidR="00532FE5" w:rsidRDefault="00532FE5" w:rsidP="00532FE5">
      <w:pPr>
        <w:pStyle w:val="Bullet2"/>
      </w:pPr>
      <w:r w:rsidRPr="00532FE5">
        <w:t>To avoid unnecessary complexity in investment, in order to keep administration costs and member understanding to a reasonable level</w:t>
      </w:r>
      <w:r>
        <w:t>.</w:t>
      </w:r>
    </w:p>
    <w:p w:rsidR="00532FE5" w:rsidRDefault="00532FE5" w:rsidP="00532FE5">
      <w:pPr>
        <w:pStyle w:val="Body"/>
      </w:pPr>
    </w:p>
    <w:p w:rsidR="00532FE5" w:rsidRDefault="00532FE5">
      <w:pPr>
        <w:widowControl w:val="0"/>
        <w:jc w:val="left"/>
        <w:rPr>
          <w:rFonts w:eastAsia="Arial" w:cs="Arial"/>
        </w:rPr>
      </w:pPr>
      <w:r>
        <w:br w:type="page"/>
      </w:r>
    </w:p>
    <w:p w:rsidR="00542443" w:rsidRDefault="00F22781" w:rsidP="00532FE5">
      <w:pPr>
        <w:pStyle w:val="Level1"/>
        <w:keepNext/>
      </w:pPr>
      <w:r>
        <w:rPr>
          <w:rStyle w:val="Level1asHeadingtext"/>
        </w:rPr>
        <w:lastRenderedPageBreak/>
        <w:fldChar w:fldCharType="begin"/>
      </w:r>
      <w:r w:rsidRPr="00F22781">
        <w:instrText xml:space="preserve">  TC "</w:instrText>
      </w:r>
      <w:r>
        <w:fldChar w:fldCharType="begin"/>
      </w:r>
      <w:r w:rsidRPr="00F22781">
        <w:instrText xml:space="preserve"> REF _Ref437039920 \r </w:instrText>
      </w:r>
      <w:r>
        <w:fldChar w:fldCharType="separate"/>
      </w:r>
      <w:bookmarkStart w:id="9" w:name="_Toc17753347"/>
      <w:r>
        <w:instrText>4</w:instrText>
      </w:r>
      <w:r>
        <w:fldChar w:fldCharType="end"/>
      </w:r>
      <w:r>
        <w:tab/>
        <w:instrText>Default Investment Arrangement</w:instrText>
      </w:r>
      <w:bookmarkEnd w:id="9"/>
      <w:r w:rsidRPr="00F22781">
        <w:instrText xml:space="preserve">" \l1 </w:instrText>
      </w:r>
      <w:r>
        <w:rPr>
          <w:rStyle w:val="Level1asHeadingtext"/>
        </w:rPr>
        <w:fldChar w:fldCharType="end"/>
      </w:r>
      <w:bookmarkStart w:id="10" w:name="bookmark4"/>
      <w:bookmarkStart w:id="11" w:name="_Ref437039920"/>
      <w:r w:rsidR="00C13A3C" w:rsidRPr="00532FE5">
        <w:rPr>
          <w:rStyle w:val="Level1asHeadingtext"/>
        </w:rPr>
        <w:t>Default Investment Arrangement</w:t>
      </w:r>
      <w:bookmarkEnd w:id="10"/>
      <w:bookmarkEnd w:id="11"/>
    </w:p>
    <w:p w:rsidR="00542443" w:rsidRPr="00532FE5" w:rsidRDefault="00C13A3C" w:rsidP="00532FE5">
      <w:pPr>
        <w:pStyle w:val="Body1"/>
      </w:pPr>
      <w:r w:rsidRPr="00532FE5">
        <w:t>The Trustees provide a "Lifestyle" default investment arrangement within the Fund.</w:t>
      </w:r>
    </w:p>
    <w:p w:rsidR="00542443" w:rsidRDefault="00C13A3C" w:rsidP="00532FE5">
      <w:pPr>
        <w:pStyle w:val="Level2"/>
        <w:keepNext/>
      </w:pPr>
      <w:bookmarkStart w:id="12" w:name="bookmark5"/>
      <w:r w:rsidRPr="00532FE5">
        <w:rPr>
          <w:rStyle w:val="Level2asHeadingtext"/>
        </w:rPr>
        <w:t>Aims and objectives of the default arrangement</w:t>
      </w:r>
      <w:bookmarkEnd w:id="12"/>
    </w:p>
    <w:p w:rsidR="00542443" w:rsidRPr="00532FE5" w:rsidRDefault="00C13A3C" w:rsidP="00532FE5">
      <w:pPr>
        <w:pStyle w:val="Body2"/>
      </w:pPr>
      <w:r w:rsidRPr="00532FE5">
        <w:t xml:space="preserve">The Trustees' aims and objectives in relation to the default arrangement are to meet and support members' investment needs where members either choose the default option, or do not choose any other investment option. Broader aims and objectives in relation to the default arrangement are set out in </w:t>
      </w:r>
      <w:r w:rsidRPr="00532FE5">
        <w:rPr>
          <w:b/>
        </w:rPr>
        <w:t>Section 3</w:t>
      </w:r>
      <w:r w:rsidRPr="00532FE5">
        <w:t>, titled "</w:t>
      </w:r>
      <w:r w:rsidRPr="00532FE5">
        <w:rPr>
          <w:b/>
        </w:rPr>
        <w:t>Investment Objectives</w:t>
      </w:r>
      <w:r w:rsidRPr="00532FE5">
        <w:t>".</w:t>
      </w:r>
    </w:p>
    <w:p w:rsidR="00542443" w:rsidRDefault="00C13A3C" w:rsidP="00532FE5">
      <w:pPr>
        <w:pStyle w:val="Level2"/>
        <w:keepNext/>
      </w:pPr>
      <w:bookmarkStart w:id="13" w:name="bookmark6"/>
      <w:r w:rsidRPr="00532FE5">
        <w:rPr>
          <w:rStyle w:val="Level2asHeadingtext"/>
        </w:rPr>
        <w:t>Trustees'' policies in relation to the default, arrangement</w:t>
      </w:r>
      <w:bookmarkEnd w:id="13"/>
    </w:p>
    <w:p w:rsidR="00542443" w:rsidRPr="00E7475A" w:rsidRDefault="00C13A3C" w:rsidP="0089538C">
      <w:pPr>
        <w:pStyle w:val="Level3"/>
        <w:keepNext/>
        <w:rPr>
          <w:b/>
        </w:rPr>
      </w:pPr>
      <w:r w:rsidRPr="00E7475A">
        <w:rPr>
          <w:b/>
        </w:rPr>
        <w:t>The kinds of Investment to be held</w:t>
      </w:r>
    </w:p>
    <w:p w:rsidR="00542443" w:rsidRPr="00E7475A" w:rsidRDefault="00C13A3C" w:rsidP="00E7475A">
      <w:pPr>
        <w:pStyle w:val="Body3"/>
      </w:pPr>
      <w:r w:rsidRPr="00E7475A">
        <w:t xml:space="preserve">The kinds of investments to be held within the default Lifestyle arrangement are shown in </w:t>
      </w:r>
      <w:r w:rsidRPr="00E7475A">
        <w:rPr>
          <w:b/>
        </w:rPr>
        <w:t>Appendix B</w:t>
      </w:r>
      <w:r w:rsidRPr="00E7475A">
        <w:t>.</w:t>
      </w:r>
    </w:p>
    <w:p w:rsidR="00542443" w:rsidRPr="00E7475A" w:rsidRDefault="00C13A3C" w:rsidP="0089538C">
      <w:pPr>
        <w:pStyle w:val="Level3"/>
        <w:keepNext/>
        <w:rPr>
          <w:b/>
        </w:rPr>
      </w:pPr>
      <w:r w:rsidRPr="00E7475A">
        <w:rPr>
          <w:b/>
        </w:rPr>
        <w:t>The balance between different kinds of investments</w:t>
      </w:r>
    </w:p>
    <w:p w:rsidR="00542443" w:rsidRPr="00E7475A" w:rsidRDefault="00C13A3C" w:rsidP="00E7475A">
      <w:pPr>
        <w:pStyle w:val="Body3"/>
      </w:pPr>
      <w:r w:rsidRPr="00E7475A">
        <w:t xml:space="preserve">Both the kinds of investments to be held, and balance between different investments within the default arrangement, are designed to provide adequately diversification and to be suitable and appropriate for the Fund and the members. Further information on these investments is given in </w:t>
      </w:r>
      <w:r w:rsidRPr="00E7475A">
        <w:rPr>
          <w:b/>
        </w:rPr>
        <w:t>Appendices B</w:t>
      </w:r>
      <w:r w:rsidRPr="00E7475A">
        <w:t xml:space="preserve"> and </w:t>
      </w:r>
      <w:r w:rsidRPr="00E7475A">
        <w:rPr>
          <w:b/>
        </w:rPr>
        <w:t>C</w:t>
      </w:r>
      <w:r w:rsidRPr="00E7475A">
        <w:t>. See also sections 5.3, "Diversification" and 5.5, "Suitability" for more details which apply to the default arrangement.</w:t>
      </w:r>
    </w:p>
    <w:p w:rsidR="00542443" w:rsidRPr="00E7475A" w:rsidRDefault="00C13A3C" w:rsidP="0089538C">
      <w:pPr>
        <w:pStyle w:val="Level3"/>
        <w:keepNext/>
        <w:rPr>
          <w:b/>
        </w:rPr>
      </w:pPr>
      <w:r w:rsidRPr="00E7475A">
        <w:rPr>
          <w:b/>
        </w:rPr>
        <w:t>Risks (including the ways in which risks are to be measured and managed)</w:t>
      </w:r>
    </w:p>
    <w:p w:rsidR="00542443" w:rsidRPr="00E7475A" w:rsidRDefault="00C13A3C" w:rsidP="00E7475A">
      <w:pPr>
        <w:pStyle w:val="Body3"/>
      </w:pPr>
      <w:r w:rsidRPr="00E7475A">
        <w:t xml:space="preserve">Risks applicable to the Fund as a whole are shown in </w:t>
      </w:r>
      <w:r w:rsidRPr="00E7475A">
        <w:rPr>
          <w:b/>
        </w:rPr>
        <w:t>Section 9</w:t>
      </w:r>
      <w:r w:rsidRPr="00E7475A">
        <w:t>, titled "</w:t>
      </w:r>
      <w:r w:rsidRPr="00E7475A">
        <w:rPr>
          <w:b/>
        </w:rPr>
        <w:t>Risks</w:t>
      </w:r>
      <w:r w:rsidRPr="00E7475A">
        <w:t>". All of the risks shown, including how they are measured and managed, are relevant to the default arrangement.</w:t>
      </w:r>
    </w:p>
    <w:p w:rsidR="00542443" w:rsidRPr="00E7475A" w:rsidRDefault="00C13A3C" w:rsidP="0089538C">
      <w:pPr>
        <w:pStyle w:val="Level3"/>
        <w:keepNext/>
        <w:rPr>
          <w:b/>
        </w:rPr>
      </w:pPr>
      <w:r w:rsidRPr="00E7475A">
        <w:rPr>
          <w:b/>
        </w:rPr>
        <w:t>Expected return on investments</w:t>
      </w:r>
    </w:p>
    <w:p w:rsidR="00542443" w:rsidRPr="00E7475A" w:rsidRDefault="00C13A3C" w:rsidP="00E7475A">
      <w:pPr>
        <w:pStyle w:val="Body3"/>
      </w:pPr>
      <w:r w:rsidRPr="00E7475A">
        <w:t xml:space="preserve">The Trustees' policy on expected return is considered in </w:t>
      </w:r>
      <w:r w:rsidRPr="00E7475A">
        <w:rPr>
          <w:b/>
        </w:rPr>
        <w:t>Section 5.2</w:t>
      </w:r>
      <w:r w:rsidRPr="00E7475A">
        <w:t>, titled "</w:t>
      </w:r>
      <w:r w:rsidRPr="00E7475A">
        <w:rPr>
          <w:b/>
        </w:rPr>
        <w:t>Expected Return</w:t>
      </w:r>
      <w:r w:rsidRPr="00E7475A">
        <w:t xml:space="preserve">". This applies to both the default arrangement and the investment strategy as a whole. Target objectives for each fund used within the default arrangement are shown in </w:t>
      </w:r>
      <w:r w:rsidRPr="00E7475A">
        <w:rPr>
          <w:b/>
        </w:rPr>
        <w:t>Appendix B</w:t>
      </w:r>
      <w:r w:rsidRPr="00E7475A">
        <w:t>.</w:t>
      </w:r>
    </w:p>
    <w:p w:rsidR="00542443" w:rsidRPr="00E7475A" w:rsidRDefault="00C13A3C" w:rsidP="0089538C">
      <w:pPr>
        <w:pStyle w:val="Level3"/>
        <w:keepNext/>
        <w:rPr>
          <w:b/>
        </w:rPr>
      </w:pPr>
      <w:r w:rsidRPr="00E7475A">
        <w:rPr>
          <w:b/>
        </w:rPr>
        <w:lastRenderedPageBreak/>
        <w:t>Realisation of investments</w:t>
      </w:r>
    </w:p>
    <w:p w:rsidR="00542443" w:rsidRPr="00E7475A" w:rsidRDefault="00C13A3C" w:rsidP="00E7475A">
      <w:pPr>
        <w:pStyle w:val="Body3"/>
      </w:pPr>
      <w:r w:rsidRPr="00E7475A">
        <w:t xml:space="preserve">The Trustees' policy in relation to the realisation and the liquidity of investments in both the default Lifestyle arrangement and the Self-Select Options are considered in </w:t>
      </w:r>
      <w:r w:rsidRPr="00E7475A">
        <w:rPr>
          <w:b/>
        </w:rPr>
        <w:t>Section 5.6</w:t>
      </w:r>
      <w:r w:rsidRPr="00E7475A">
        <w:t>, titled "</w:t>
      </w:r>
      <w:r w:rsidRPr="00E7475A">
        <w:rPr>
          <w:b/>
        </w:rPr>
        <w:t>Liquidity</w:t>
      </w:r>
      <w:r w:rsidRPr="00E7475A">
        <w:t>".</w:t>
      </w:r>
    </w:p>
    <w:p w:rsidR="00542443" w:rsidRPr="00E7475A" w:rsidRDefault="00C13A3C" w:rsidP="0089538C">
      <w:pPr>
        <w:pStyle w:val="Level3"/>
        <w:keepNext/>
        <w:rPr>
          <w:b/>
        </w:rPr>
      </w:pPr>
      <w:r w:rsidRPr="00E7475A">
        <w:rPr>
          <w:b/>
        </w:rPr>
        <w:t>Environmental, Social and Governance ("ESG") considerations</w:t>
      </w:r>
    </w:p>
    <w:p w:rsidR="00542443" w:rsidRPr="00E7475A" w:rsidRDefault="00C13A3C" w:rsidP="00E7475A">
      <w:pPr>
        <w:pStyle w:val="Body3"/>
      </w:pPr>
      <w:r w:rsidRPr="00E7475A">
        <w:t xml:space="preserve">The extent to which the Trustees consider ESG issues within the default arrangement is shown in </w:t>
      </w:r>
      <w:r w:rsidRPr="00E7475A">
        <w:rPr>
          <w:b/>
        </w:rPr>
        <w:t>Section 10</w:t>
      </w:r>
      <w:r w:rsidRPr="00E7475A">
        <w:t>, titled "</w:t>
      </w:r>
      <w:r w:rsidRPr="00E7475A">
        <w:rPr>
          <w:b/>
        </w:rPr>
        <w:t>Other Risks</w:t>
      </w:r>
      <w:r w:rsidRPr="00E7475A">
        <w:t>".</w:t>
      </w:r>
    </w:p>
    <w:p w:rsidR="00542443" w:rsidRPr="00E7475A" w:rsidRDefault="00C13A3C" w:rsidP="0089538C">
      <w:pPr>
        <w:pStyle w:val="Level3"/>
        <w:keepNext/>
        <w:rPr>
          <w:b/>
        </w:rPr>
      </w:pPr>
      <w:r w:rsidRPr="00E7475A">
        <w:rPr>
          <w:b/>
        </w:rPr>
        <w:t>Exercise of rights (including voting rights) attaching to the investments</w:t>
      </w:r>
    </w:p>
    <w:p w:rsidR="00542443" w:rsidRPr="00E7475A" w:rsidRDefault="00C13A3C" w:rsidP="00E7475A">
      <w:pPr>
        <w:pStyle w:val="Body3"/>
      </w:pPr>
      <w:r w:rsidRPr="00E7475A">
        <w:t>The extent to which the Trustees consider</w:t>
      </w:r>
      <w:r w:rsidR="00E7475A" w:rsidRPr="00E7475A">
        <w:t xml:space="preserve"> </w:t>
      </w:r>
      <w:r w:rsidRPr="00E7475A">
        <w:t xml:space="preserve">the exercise of rights within the default arrangement is shown in the </w:t>
      </w:r>
      <w:r w:rsidRPr="00E7475A">
        <w:rPr>
          <w:b/>
        </w:rPr>
        <w:t>Section 10</w:t>
      </w:r>
      <w:r w:rsidRPr="00E7475A">
        <w:t>, titled "</w:t>
      </w:r>
      <w:r w:rsidRPr="00E7475A">
        <w:rPr>
          <w:b/>
        </w:rPr>
        <w:t>Other Risks</w:t>
      </w:r>
      <w:r w:rsidRPr="00E7475A">
        <w:t>".</w:t>
      </w:r>
    </w:p>
    <w:p w:rsidR="00542443" w:rsidRPr="00E7475A" w:rsidRDefault="00C13A3C" w:rsidP="00E7475A">
      <w:pPr>
        <w:pStyle w:val="Level2"/>
        <w:keepNext/>
        <w:rPr>
          <w:rStyle w:val="Level2asHeadingtext"/>
          <w:b w:val="0"/>
          <w:bCs w:val="0"/>
          <w:color w:val="auto"/>
          <w:sz w:val="20"/>
        </w:rPr>
      </w:pPr>
      <w:bookmarkStart w:id="14" w:name="bookmark7"/>
      <w:r w:rsidRPr="00E7475A">
        <w:rPr>
          <w:rStyle w:val="Level2asHeadingtext"/>
        </w:rPr>
        <w:t>Best interests of members and beneficiaries</w:t>
      </w:r>
      <w:bookmarkEnd w:id="14"/>
    </w:p>
    <w:p w:rsidR="00542443" w:rsidRDefault="00C13A3C" w:rsidP="00E7475A">
      <w:pPr>
        <w:pStyle w:val="Body1"/>
      </w:pPr>
      <w:r w:rsidRPr="00E7475A">
        <w:t>In designing the default arrangement, the Trustees, in conjunction with the Investment Adviser, carried out a comprehensive review of the previous investment arrangement and possible alternatives,), with a key focus being on ensuring that the default Lifestyle arrangement meets member needs and provides good financial outcomes for members and beneficiaries. The default arrangement aims to optimise the value of members' assets at retirement, maintain the purchasing power of members' savings; and protect the value of accumulated assets as members approach retirement. The Trustees believe the default arrangement is in the best interest of members and beneficiaries, and have undertaken periodic reviews of the continuing suitability of the default Lifestyle arrangement.</w:t>
      </w:r>
    </w:p>
    <w:p w:rsidR="0089538C" w:rsidRDefault="0089538C" w:rsidP="0089538C">
      <w:pPr>
        <w:pStyle w:val="Body"/>
      </w:pPr>
    </w:p>
    <w:p w:rsidR="0089538C" w:rsidRDefault="0089538C">
      <w:pPr>
        <w:widowControl w:val="0"/>
        <w:jc w:val="left"/>
        <w:rPr>
          <w:rFonts w:eastAsia="Arial" w:cs="Arial"/>
        </w:rPr>
      </w:pPr>
      <w:r>
        <w:br w:type="page"/>
      </w:r>
    </w:p>
    <w:p w:rsidR="00542443" w:rsidRDefault="00F22781" w:rsidP="00E7475A">
      <w:pPr>
        <w:pStyle w:val="Level1"/>
        <w:keepNext/>
      </w:pPr>
      <w:r>
        <w:rPr>
          <w:rStyle w:val="Level1asHeadingtext"/>
        </w:rPr>
        <w:lastRenderedPageBreak/>
        <w:fldChar w:fldCharType="begin"/>
      </w:r>
      <w:r w:rsidRPr="00F22781">
        <w:instrText xml:space="preserve">  TC "</w:instrText>
      </w:r>
      <w:r>
        <w:fldChar w:fldCharType="begin"/>
      </w:r>
      <w:r w:rsidRPr="00F22781">
        <w:instrText xml:space="preserve"> REF _Ref437039998 \r </w:instrText>
      </w:r>
      <w:r>
        <w:fldChar w:fldCharType="separate"/>
      </w:r>
      <w:bookmarkStart w:id="15" w:name="_Toc17753348"/>
      <w:r>
        <w:instrText>5</w:instrText>
      </w:r>
      <w:r>
        <w:fldChar w:fldCharType="end"/>
      </w:r>
      <w:r>
        <w:tab/>
        <w:instrText>Investment Strategy</w:instrText>
      </w:r>
      <w:bookmarkEnd w:id="15"/>
      <w:r w:rsidRPr="00F22781">
        <w:instrText xml:space="preserve">" \l1 </w:instrText>
      </w:r>
      <w:r>
        <w:rPr>
          <w:rStyle w:val="Level1asHeadingtext"/>
        </w:rPr>
        <w:fldChar w:fldCharType="end"/>
      </w:r>
      <w:bookmarkStart w:id="16" w:name="bookmark8"/>
      <w:bookmarkStart w:id="17" w:name="_Ref437039998"/>
      <w:r w:rsidR="00C13A3C" w:rsidRPr="00E7475A">
        <w:rPr>
          <w:rStyle w:val="Level1asHeadingtext"/>
        </w:rPr>
        <w:t>Investment Strategy</w:t>
      </w:r>
      <w:bookmarkEnd w:id="16"/>
      <w:bookmarkEnd w:id="17"/>
    </w:p>
    <w:p w:rsidR="00542443" w:rsidRPr="00E7475A" w:rsidRDefault="00C13A3C" w:rsidP="00E7475A">
      <w:pPr>
        <w:pStyle w:val="Body1"/>
      </w:pPr>
      <w:r w:rsidRPr="00E7475A">
        <w:t xml:space="preserve">Having considered advice from the Investment Advisor, and also having due regard for the objectives of the Fund, a number of investment options have been made available. Members can choose to invest their contributions in one or more of these investment options, or may rely on the default Lifestyle arrangement, as detailed in </w:t>
      </w:r>
      <w:r w:rsidRPr="00E7475A">
        <w:rPr>
          <w:b/>
        </w:rPr>
        <w:t>Appendix B</w:t>
      </w:r>
      <w:r w:rsidRPr="00E7475A">
        <w:t>.</w:t>
      </w:r>
    </w:p>
    <w:p w:rsidR="00542443" w:rsidRPr="00E7475A" w:rsidRDefault="00C13A3C" w:rsidP="00E7475A">
      <w:pPr>
        <w:pStyle w:val="Body1"/>
      </w:pPr>
      <w:r w:rsidRPr="00E7475A">
        <w:t>The Trustees ensure that each member's investments are invested in accordance with the fund options selected by the member.</w:t>
      </w:r>
    </w:p>
    <w:p w:rsidR="00542443" w:rsidRDefault="00C13A3C" w:rsidP="00E7475A">
      <w:pPr>
        <w:pStyle w:val="Level2"/>
        <w:keepNext/>
      </w:pPr>
      <w:bookmarkStart w:id="18" w:name="bookmark9"/>
      <w:r w:rsidRPr="00E7475A">
        <w:rPr>
          <w:rStyle w:val="Level2asHeadingtext"/>
        </w:rPr>
        <w:t>Investment options</w:t>
      </w:r>
      <w:bookmarkEnd w:id="18"/>
    </w:p>
    <w:p w:rsidR="00542443" w:rsidRPr="0082312F" w:rsidRDefault="00C13A3C" w:rsidP="0082312F">
      <w:pPr>
        <w:pStyle w:val="Body2"/>
      </w:pPr>
      <w:r w:rsidRPr="0082312F">
        <w:t>The Fund's investment options are a default Lifestyle arrangement and a number of self-directed "</w:t>
      </w:r>
      <w:r w:rsidRPr="0082312F">
        <w:rPr>
          <w:b/>
        </w:rPr>
        <w:t>Self-Select</w:t>
      </w:r>
      <w:r w:rsidRPr="0082312F">
        <w:t>" options. Details of the blended funds which are included in the default Lifestyle arrangement and the various Self-Select options are contained in Appendix B.</w:t>
      </w:r>
    </w:p>
    <w:p w:rsidR="00542443" w:rsidRDefault="00C13A3C" w:rsidP="0082312F">
      <w:pPr>
        <w:pStyle w:val="Level2"/>
        <w:keepNext/>
      </w:pPr>
      <w:bookmarkStart w:id="19" w:name="bookmark10"/>
      <w:r w:rsidRPr="0082312F">
        <w:rPr>
          <w:rStyle w:val="Level2asHeadingtext"/>
        </w:rPr>
        <w:t>Expected return on investments</w:t>
      </w:r>
      <w:bookmarkEnd w:id="19"/>
    </w:p>
    <w:p w:rsidR="00542443" w:rsidRPr="0082312F" w:rsidRDefault="00C13A3C" w:rsidP="0082312F">
      <w:pPr>
        <w:pStyle w:val="Body2"/>
      </w:pPr>
      <w:r w:rsidRPr="0082312F">
        <w:t xml:space="preserve">The Trustees consider the expected returns of the Fund's investment strategy, including the default arrangement, by adopting a number of specific benchmarks against which to measure the performance of the different investments. These benchmarks may change from time to time. Further information on the benchmarks which apply to specific funds are contained in </w:t>
      </w:r>
      <w:r w:rsidRPr="0082312F">
        <w:rPr>
          <w:b/>
        </w:rPr>
        <w:t>Appendix B</w:t>
      </w:r>
      <w:r w:rsidRPr="0082312F">
        <w:t>.</w:t>
      </w:r>
    </w:p>
    <w:p w:rsidR="00542443" w:rsidRDefault="00C13A3C" w:rsidP="0082312F">
      <w:pPr>
        <w:pStyle w:val="Level2"/>
        <w:keepNext/>
      </w:pPr>
      <w:bookmarkStart w:id="20" w:name="bookmark11"/>
      <w:r w:rsidRPr="0082312F">
        <w:rPr>
          <w:rStyle w:val="Level2asHeadingtext"/>
        </w:rPr>
        <w:t>Diversification</w:t>
      </w:r>
      <w:bookmarkEnd w:id="20"/>
    </w:p>
    <w:p w:rsidR="00542443" w:rsidRPr="0082312F" w:rsidRDefault="00C13A3C" w:rsidP="0082312F">
      <w:pPr>
        <w:pStyle w:val="Body2"/>
      </w:pPr>
      <w:r w:rsidRPr="0082312F">
        <w:t>The choice of investment options for members is designed to ensure that members are able to choose investments that are adequately diversified and suitable for their profile. The Trustees monitor the strategy regularly to ensure that they are comfortable with the choice of funds offered to members. The funds included in the default Lifestyle arrangement have also been selected to provide an appropriate level of diversification at different ages, consistent with the overall objectives of that arrangement.</w:t>
      </w:r>
    </w:p>
    <w:p w:rsidR="00542443" w:rsidRDefault="00C13A3C" w:rsidP="0082312F">
      <w:pPr>
        <w:pStyle w:val="Level2"/>
        <w:keepNext/>
      </w:pPr>
      <w:bookmarkStart w:id="21" w:name="bookmark12"/>
      <w:r w:rsidRPr="0082312F">
        <w:rPr>
          <w:rStyle w:val="Level2asHeadingtext"/>
        </w:rPr>
        <w:t>Active and passive management</w:t>
      </w:r>
      <w:bookmarkEnd w:id="21"/>
    </w:p>
    <w:p w:rsidR="00542443" w:rsidRPr="0082312F" w:rsidRDefault="00C13A3C" w:rsidP="0082312F">
      <w:pPr>
        <w:pStyle w:val="Body2"/>
      </w:pPr>
      <w:r w:rsidRPr="0082312F">
        <w:t>The Trustees have selected a range of both active and passive fund options for members.</w:t>
      </w:r>
    </w:p>
    <w:p w:rsidR="00542443" w:rsidRDefault="00C13A3C" w:rsidP="0082312F">
      <w:pPr>
        <w:pStyle w:val="Level2"/>
        <w:keepNext/>
      </w:pPr>
      <w:bookmarkStart w:id="22" w:name="bookmark13"/>
      <w:r w:rsidRPr="0082312F">
        <w:rPr>
          <w:rStyle w:val="Level2asHeadingtext"/>
        </w:rPr>
        <w:t>Suitability</w:t>
      </w:r>
      <w:bookmarkEnd w:id="22"/>
    </w:p>
    <w:p w:rsidR="00542443" w:rsidRPr="0082312F" w:rsidRDefault="00C13A3C" w:rsidP="0082312F">
      <w:pPr>
        <w:pStyle w:val="Body2"/>
      </w:pPr>
      <w:r w:rsidRPr="0082312F">
        <w:t xml:space="preserve">The Trustees have taken advice from the Investment Advisor that the range of investment options offered to members is suitable. Members are responsible for choosing which of the Self-Select </w:t>
      </w:r>
      <w:r w:rsidRPr="0082312F">
        <w:lastRenderedPageBreak/>
        <w:t>funds is most appropriate, or choosing to rely on the default arrangement for the investment of their own and their employer's contributions, based on their own individual circumstances.</w:t>
      </w:r>
    </w:p>
    <w:p w:rsidR="00542443" w:rsidRPr="0082312F" w:rsidRDefault="00C13A3C" w:rsidP="0082312F">
      <w:pPr>
        <w:pStyle w:val="Body2"/>
      </w:pPr>
      <w:r w:rsidRPr="0082312F">
        <w:t>The suitability and range of investment options, including the default option, are reviewed regularly (at least annually at Trustees' meetings).</w:t>
      </w:r>
    </w:p>
    <w:p w:rsidR="00542443" w:rsidRDefault="00C13A3C" w:rsidP="0082312F">
      <w:pPr>
        <w:pStyle w:val="Level2"/>
        <w:keepNext/>
      </w:pPr>
      <w:bookmarkStart w:id="23" w:name="bookmark14"/>
      <w:r w:rsidRPr="0082312F">
        <w:rPr>
          <w:rStyle w:val="Level2asHeadingtext"/>
        </w:rPr>
        <w:t>Liquidity</w:t>
      </w:r>
      <w:bookmarkEnd w:id="23"/>
    </w:p>
    <w:p w:rsidR="00542443" w:rsidRPr="0082312F" w:rsidRDefault="00C13A3C" w:rsidP="0082312F">
      <w:pPr>
        <w:pStyle w:val="Body2"/>
      </w:pPr>
      <w:r w:rsidRPr="0082312F">
        <w:t>The assets are held in asset classes that are considered sufficiently liquid and realisable without undue delay for the purposes of the Fund.</w:t>
      </w:r>
    </w:p>
    <w:p w:rsidR="0082312F" w:rsidRDefault="0082312F" w:rsidP="0082312F">
      <w:pPr>
        <w:pStyle w:val="Body"/>
      </w:pPr>
    </w:p>
    <w:p w:rsidR="0082312F" w:rsidRDefault="0082312F" w:rsidP="0082312F">
      <w:pPr>
        <w:pStyle w:val="Body"/>
      </w:pPr>
      <w:r>
        <w:br w:type="page"/>
      </w:r>
    </w:p>
    <w:p w:rsidR="00542443" w:rsidRDefault="00F22781" w:rsidP="0082312F">
      <w:pPr>
        <w:pStyle w:val="Level1"/>
        <w:keepNext/>
      </w:pPr>
      <w:r>
        <w:rPr>
          <w:rStyle w:val="Level1asHeadingtext"/>
        </w:rPr>
        <w:lastRenderedPageBreak/>
        <w:fldChar w:fldCharType="begin"/>
      </w:r>
      <w:r w:rsidRPr="00F22781">
        <w:instrText xml:space="preserve">  TC "</w:instrText>
      </w:r>
      <w:r>
        <w:fldChar w:fldCharType="begin"/>
      </w:r>
      <w:r w:rsidRPr="00F22781">
        <w:instrText xml:space="preserve"> REF _Ref437040091 \r </w:instrText>
      </w:r>
      <w:r>
        <w:fldChar w:fldCharType="separate"/>
      </w:r>
      <w:bookmarkStart w:id="24" w:name="_Toc17753349"/>
      <w:r>
        <w:instrText>6</w:instrText>
      </w:r>
      <w:r>
        <w:fldChar w:fldCharType="end"/>
      </w:r>
      <w:r>
        <w:tab/>
        <w:instrText>Strategy Implementation</w:instrText>
      </w:r>
      <w:bookmarkEnd w:id="24"/>
      <w:r w:rsidRPr="00F22781">
        <w:instrText xml:space="preserve">" \l1 </w:instrText>
      </w:r>
      <w:r>
        <w:rPr>
          <w:rStyle w:val="Level1asHeadingtext"/>
        </w:rPr>
        <w:fldChar w:fldCharType="end"/>
      </w:r>
      <w:bookmarkStart w:id="25" w:name="bookmark15"/>
      <w:bookmarkStart w:id="26" w:name="_Ref437040091"/>
      <w:r w:rsidR="0082312F">
        <w:rPr>
          <w:rStyle w:val="Level1asHeadingtext"/>
        </w:rPr>
        <w:t>S</w:t>
      </w:r>
      <w:r w:rsidR="00C13A3C" w:rsidRPr="0082312F">
        <w:rPr>
          <w:rStyle w:val="Level1asHeadingtext"/>
        </w:rPr>
        <w:t>trategy Implementation</w:t>
      </w:r>
      <w:bookmarkEnd w:id="25"/>
      <w:bookmarkEnd w:id="26"/>
    </w:p>
    <w:p w:rsidR="00542443" w:rsidRPr="0082312F" w:rsidRDefault="00C13A3C" w:rsidP="0082312F">
      <w:pPr>
        <w:pStyle w:val="Body1"/>
      </w:pPr>
      <w:r w:rsidRPr="0082312F">
        <w:t xml:space="preserve">The Trustees have decided to delegate the day-to-day investment of the Fund's assets to professional managers. The details of the Managers' mandates can be found in </w:t>
      </w:r>
      <w:r w:rsidRPr="0082312F">
        <w:rPr>
          <w:b/>
        </w:rPr>
        <w:t>Appendix B</w:t>
      </w:r>
      <w:r w:rsidRPr="0082312F">
        <w:t>.</w:t>
      </w:r>
    </w:p>
    <w:p w:rsidR="00542443" w:rsidRDefault="00C13A3C" w:rsidP="0082312F">
      <w:pPr>
        <w:pStyle w:val="Level2"/>
        <w:keepNext/>
      </w:pPr>
      <w:bookmarkStart w:id="27" w:name="bookmark16"/>
      <w:r w:rsidRPr="0082312F">
        <w:rPr>
          <w:rStyle w:val="Level2asHeadingtext"/>
        </w:rPr>
        <w:t>Investment managers</w:t>
      </w:r>
      <w:bookmarkEnd w:id="27"/>
    </w:p>
    <w:p w:rsidR="00542443" w:rsidRPr="0082312F" w:rsidRDefault="00C13A3C" w:rsidP="0082312F">
      <w:pPr>
        <w:pStyle w:val="Body2"/>
      </w:pPr>
      <w:r w:rsidRPr="0082312F">
        <w:t>The Trustees have appointed Old Mutual Wealth Life Assurance Limited ("</w:t>
      </w:r>
      <w:r w:rsidRPr="0082312F">
        <w:rPr>
          <w:b/>
        </w:rPr>
        <w:t>Old Mutual Wealth</w:t>
      </w:r>
      <w:r w:rsidRPr="0082312F">
        <w:t>") as the Platform Manager to provide the platform for member investments. Old Mutual Wealth will provide services related to transition execution and the creation of insured funds, with ongoing administration of funds (including blended funds) at an overall CalaChem Pension Fund level.</w:t>
      </w:r>
    </w:p>
    <w:p w:rsidR="00542443" w:rsidRPr="0082312F" w:rsidRDefault="00C13A3C" w:rsidP="0082312F">
      <w:pPr>
        <w:pStyle w:val="Body2"/>
      </w:pPr>
      <w:r w:rsidRPr="0082312F">
        <w:t xml:space="preserve">The Trustees have selected a range of investment options for the members of the Fund. Full details are listed in </w:t>
      </w:r>
      <w:r w:rsidRPr="0082312F">
        <w:rPr>
          <w:b/>
        </w:rPr>
        <w:t>Appendix B</w:t>
      </w:r>
      <w:r w:rsidRPr="0082312F">
        <w:t>.</w:t>
      </w:r>
    </w:p>
    <w:p w:rsidR="00542443" w:rsidRDefault="00C13A3C" w:rsidP="0082312F">
      <w:pPr>
        <w:pStyle w:val="Level2"/>
        <w:keepNext/>
      </w:pPr>
      <w:bookmarkStart w:id="28" w:name="bookmark17"/>
      <w:r w:rsidRPr="0082312F">
        <w:rPr>
          <w:rStyle w:val="Level2asHeadingtext"/>
        </w:rPr>
        <w:t>Administrator</w:t>
      </w:r>
      <w:bookmarkEnd w:id="28"/>
    </w:p>
    <w:p w:rsidR="00542443" w:rsidRPr="0082312F" w:rsidRDefault="00C13A3C" w:rsidP="0082312F">
      <w:pPr>
        <w:pStyle w:val="Body2"/>
      </w:pPr>
      <w:r w:rsidRPr="0082312F">
        <w:t>Administration of member data is provided to the Trustees by Buck.</w:t>
      </w:r>
    </w:p>
    <w:p w:rsidR="00542443" w:rsidRDefault="00C13A3C" w:rsidP="0082312F">
      <w:pPr>
        <w:pStyle w:val="Level2"/>
        <w:keepNext/>
      </w:pPr>
      <w:bookmarkStart w:id="29" w:name="bookmark18"/>
      <w:r w:rsidRPr="0082312F">
        <w:rPr>
          <w:rStyle w:val="Level2asHeadingtext"/>
        </w:rPr>
        <w:t>F</w:t>
      </w:r>
      <w:r w:rsidR="0082312F">
        <w:rPr>
          <w:rStyle w:val="Level2asHeadingtext"/>
        </w:rPr>
        <w:t>u</w:t>
      </w:r>
      <w:r w:rsidRPr="0082312F">
        <w:rPr>
          <w:rStyle w:val="Level2asHeadingtext"/>
        </w:rPr>
        <w:t>nd options</w:t>
      </w:r>
      <w:bookmarkEnd w:id="29"/>
    </w:p>
    <w:p w:rsidR="00542443" w:rsidRPr="0082312F" w:rsidRDefault="00C13A3C" w:rsidP="0082312F">
      <w:pPr>
        <w:pStyle w:val="Body2"/>
      </w:pPr>
      <w:r w:rsidRPr="0082312F">
        <w:t xml:space="preserve">The range of funds offered to members was chosen to give members a diversified range of investments from which they can select according to their individual circumstances, either by remaining within the default Lifestyle arrangement or by selecting within the Self-Select option. Details of all funds available to members are set out in </w:t>
      </w:r>
      <w:r w:rsidRPr="0082312F">
        <w:rPr>
          <w:b/>
        </w:rPr>
        <w:t>Appendix B</w:t>
      </w:r>
      <w:r w:rsidRPr="0082312F">
        <w:t>.</w:t>
      </w:r>
    </w:p>
    <w:p w:rsidR="00542443" w:rsidRDefault="00C13A3C" w:rsidP="0082312F">
      <w:pPr>
        <w:pStyle w:val="Level2"/>
        <w:keepNext/>
      </w:pPr>
      <w:bookmarkStart w:id="30" w:name="bookmark19"/>
      <w:r w:rsidRPr="0082312F">
        <w:rPr>
          <w:rStyle w:val="Level2asHeadingtext"/>
        </w:rPr>
        <w:t>Investment of contributions</w:t>
      </w:r>
      <w:bookmarkEnd w:id="30"/>
    </w:p>
    <w:p w:rsidR="00542443" w:rsidRPr="0082312F" w:rsidRDefault="00C13A3C" w:rsidP="0082312F">
      <w:pPr>
        <w:pStyle w:val="Body2"/>
      </w:pPr>
      <w:r w:rsidRPr="0082312F">
        <w:t>A member's contributions will be invested in line with their selected choice of funds. Where a member has not made an active selection, their contributions will be invested in the default Lifestyle arrangement, which is detailed in Appendix B.</w:t>
      </w:r>
    </w:p>
    <w:p w:rsidR="00542443" w:rsidRDefault="00C13A3C" w:rsidP="0082312F">
      <w:pPr>
        <w:pStyle w:val="Level2"/>
        <w:keepNext/>
      </w:pPr>
      <w:bookmarkStart w:id="31" w:name="bookmark20"/>
      <w:r w:rsidRPr="0082312F">
        <w:rPr>
          <w:rStyle w:val="Level2asHeadingtext"/>
        </w:rPr>
        <w:t>Transitions</w:t>
      </w:r>
      <w:bookmarkEnd w:id="31"/>
    </w:p>
    <w:p w:rsidR="00542443" w:rsidRDefault="00C13A3C" w:rsidP="0082312F">
      <w:pPr>
        <w:pStyle w:val="Body2"/>
      </w:pPr>
      <w:r w:rsidRPr="0082312F">
        <w:t>The Trustees, in conjunction with their Advisors, will look to mitigate to the best of their ability the potential risks and costs to members as a result of any investment transitions. The Trustees take advice from their Advisors in relation to different transition methods and other ways in which these potential risks/costs can be mitigated.</w:t>
      </w:r>
    </w:p>
    <w:p w:rsidR="0082312F" w:rsidRDefault="0082312F" w:rsidP="0082312F">
      <w:pPr>
        <w:pStyle w:val="Body2"/>
      </w:pPr>
    </w:p>
    <w:p w:rsidR="0082312F" w:rsidRDefault="0082312F">
      <w:pPr>
        <w:widowControl w:val="0"/>
        <w:jc w:val="left"/>
        <w:rPr>
          <w:rFonts w:eastAsia="Arial" w:cs="Arial"/>
        </w:rPr>
      </w:pPr>
      <w:r>
        <w:br w:type="page"/>
      </w:r>
    </w:p>
    <w:p w:rsidR="00542443" w:rsidRDefault="00F22781" w:rsidP="0082312F">
      <w:pPr>
        <w:pStyle w:val="Level1"/>
        <w:keepNext/>
      </w:pPr>
      <w:r>
        <w:rPr>
          <w:rStyle w:val="Level1asHeadingtext"/>
        </w:rPr>
        <w:lastRenderedPageBreak/>
        <w:fldChar w:fldCharType="begin"/>
      </w:r>
      <w:r w:rsidRPr="00F22781">
        <w:instrText xml:space="preserve">  TC "</w:instrText>
      </w:r>
      <w:r>
        <w:fldChar w:fldCharType="begin"/>
      </w:r>
      <w:r w:rsidRPr="00F22781">
        <w:instrText xml:space="preserve"> REF _Ref437040154 \r </w:instrText>
      </w:r>
      <w:r>
        <w:fldChar w:fldCharType="separate"/>
      </w:r>
      <w:bookmarkStart w:id="32" w:name="_Toc17753350"/>
      <w:r>
        <w:instrText>7</w:instrText>
      </w:r>
      <w:r>
        <w:fldChar w:fldCharType="end"/>
      </w:r>
      <w:r>
        <w:tab/>
        <w:instrText>Monitoring</w:instrText>
      </w:r>
      <w:bookmarkEnd w:id="32"/>
      <w:r w:rsidRPr="00F22781">
        <w:instrText xml:space="preserve">" \l1 </w:instrText>
      </w:r>
      <w:r>
        <w:rPr>
          <w:rStyle w:val="Level1asHeadingtext"/>
        </w:rPr>
        <w:fldChar w:fldCharType="end"/>
      </w:r>
      <w:bookmarkStart w:id="33" w:name="bookmark21"/>
      <w:bookmarkStart w:id="34" w:name="_Ref437040154"/>
      <w:r w:rsidR="00C13A3C" w:rsidRPr="0082312F">
        <w:rPr>
          <w:rStyle w:val="Level1asHeadingtext"/>
        </w:rPr>
        <w:t>Monitoring</w:t>
      </w:r>
      <w:bookmarkEnd w:id="33"/>
      <w:bookmarkEnd w:id="34"/>
    </w:p>
    <w:p w:rsidR="00542443" w:rsidRDefault="00C13A3C" w:rsidP="0082312F">
      <w:pPr>
        <w:pStyle w:val="Level2"/>
        <w:keepNext/>
      </w:pPr>
      <w:bookmarkStart w:id="35" w:name="bookmark22"/>
      <w:r w:rsidRPr="0082312F">
        <w:rPr>
          <w:rStyle w:val="Level2asHeadingtext"/>
        </w:rPr>
        <w:t>Managers</w:t>
      </w:r>
      <w:bookmarkEnd w:id="35"/>
    </w:p>
    <w:p w:rsidR="00542443" w:rsidRPr="0082312F" w:rsidRDefault="00C13A3C" w:rsidP="0082312F">
      <w:pPr>
        <w:pStyle w:val="Body2"/>
      </w:pPr>
      <w:r w:rsidRPr="0082312F">
        <w:t>The Trustees/ or Advisors on behalf of the Trustees, monitor</w:t>
      </w:r>
      <w:r w:rsidR="0082312F">
        <w:t xml:space="preserve"> </w:t>
      </w:r>
      <w:r w:rsidRPr="0082312F">
        <w:t>the performance of the Investment Managers against their own or the Trustees'</w:t>
      </w:r>
      <w:r w:rsidR="0082312F">
        <w:t xml:space="preserve"> </w:t>
      </w:r>
      <w:r w:rsidRPr="0082312F">
        <w:t>own specified benchmarks.</w:t>
      </w:r>
    </w:p>
    <w:p w:rsidR="00542443" w:rsidRPr="0082312F" w:rsidRDefault="00C13A3C" w:rsidP="0082312F">
      <w:pPr>
        <w:pStyle w:val="Body2"/>
      </w:pPr>
      <w:r w:rsidRPr="0082312F">
        <w:t>The Trustees, or the Advisors on behalf of the Trustees, regularly review the activities of the Investment Managers to satisfy themselves that each Investment Manager continues to carry out their work competently and has the appropriate knowledge and experience to manage the assets of Fund.</w:t>
      </w:r>
    </w:p>
    <w:p w:rsidR="00542443" w:rsidRPr="0082312F" w:rsidRDefault="00C13A3C" w:rsidP="0082312F">
      <w:pPr>
        <w:pStyle w:val="Body2"/>
      </w:pPr>
      <w:r w:rsidRPr="0082312F">
        <w:t>As part of these reviews, the Trustees will consider whether or not each Investment Manager;</w:t>
      </w:r>
    </w:p>
    <w:p w:rsidR="00542443" w:rsidRPr="0082312F" w:rsidRDefault="00C13A3C" w:rsidP="0082312F">
      <w:pPr>
        <w:pStyle w:val="Bullet2"/>
      </w:pPr>
      <w:r w:rsidRPr="0082312F">
        <w:t>Is carrying out his work competently. The Trustees will evaluate the Investment Manager based on, amongst other</w:t>
      </w:r>
      <w:r w:rsidR="0089538C">
        <w:t xml:space="preserve"> </w:t>
      </w:r>
      <w:r w:rsidRPr="0082312F">
        <w:t>things:</w:t>
      </w:r>
    </w:p>
    <w:p w:rsidR="00542443" w:rsidRPr="0082312F" w:rsidRDefault="00C13A3C" w:rsidP="0082312F">
      <w:pPr>
        <w:pStyle w:val="Bullet3"/>
      </w:pPr>
      <w:r w:rsidRPr="0082312F">
        <w:t>Each Investment Manager's performance versus their respective benchmarks.</w:t>
      </w:r>
    </w:p>
    <w:p w:rsidR="00542443" w:rsidRPr="0082312F" w:rsidRDefault="00C13A3C" w:rsidP="0082312F">
      <w:pPr>
        <w:pStyle w:val="Bullet3"/>
      </w:pPr>
      <w:r w:rsidRPr="0082312F">
        <w:t>The level of risk within the portfolios given the specified risk tolerances.</w:t>
      </w:r>
    </w:p>
    <w:p w:rsidR="00542443" w:rsidRPr="0082312F" w:rsidRDefault="00C13A3C" w:rsidP="0082312F">
      <w:pPr>
        <w:pStyle w:val="Bullet3"/>
      </w:pPr>
      <w:r w:rsidRPr="0082312F">
        <w:t>For</w:t>
      </w:r>
      <w:r w:rsidR="0082312F">
        <w:t xml:space="preserve"> </w:t>
      </w:r>
      <w:r w:rsidRPr="0082312F">
        <w:t>funds used in the default arrangement, the extent</w:t>
      </w:r>
      <w:r w:rsidR="0082312F">
        <w:t xml:space="preserve"> </w:t>
      </w:r>
      <w:r w:rsidRPr="0082312F">
        <w:t>to which returns are consistent with the aims of the Trustees in relation to that arrangement</w:t>
      </w:r>
    </w:p>
    <w:p w:rsidR="00542443" w:rsidRPr="0082312F" w:rsidRDefault="00C13A3C" w:rsidP="0082312F">
      <w:pPr>
        <w:pStyle w:val="Bullet2"/>
      </w:pPr>
      <w:r w:rsidRPr="0082312F">
        <w:t>Whether</w:t>
      </w:r>
      <w:r w:rsidR="0089538C">
        <w:t xml:space="preserve"> or not each Investment Manager:</w:t>
      </w:r>
    </w:p>
    <w:p w:rsidR="00542443" w:rsidRPr="0082312F" w:rsidRDefault="00C13A3C" w:rsidP="0082312F">
      <w:pPr>
        <w:pStyle w:val="Bullet3"/>
      </w:pPr>
      <w:r w:rsidRPr="0082312F">
        <w:t>Has regard to the need for diversification of investment holdings.</w:t>
      </w:r>
    </w:p>
    <w:p w:rsidR="00542443" w:rsidRPr="0082312F" w:rsidRDefault="0089538C" w:rsidP="0082312F">
      <w:pPr>
        <w:pStyle w:val="Bullet3"/>
      </w:pPr>
      <w:r>
        <w:t>Ha</w:t>
      </w:r>
      <w:r w:rsidR="00C13A3C" w:rsidRPr="0082312F">
        <w:t>s regard to the suitability of each investment and each category of investment.</w:t>
      </w:r>
    </w:p>
    <w:p w:rsidR="00542443" w:rsidRPr="0082312F" w:rsidRDefault="00C13A3C" w:rsidP="0082312F">
      <w:pPr>
        <w:pStyle w:val="Bullet3"/>
      </w:pPr>
      <w:r w:rsidRPr="0082312F">
        <w:t>Has been exercising their powers of investment with a view to giving effect to the principles contained in this SIP, so far as is reasonably practical.</w:t>
      </w:r>
    </w:p>
    <w:p w:rsidR="00542443" w:rsidRPr="0082312F" w:rsidRDefault="00C13A3C" w:rsidP="0082312F">
      <w:pPr>
        <w:pStyle w:val="Body2"/>
      </w:pPr>
      <w:r w:rsidRPr="0082312F">
        <w:t>If the Trustees are not satisfied with an Investment Manager</w:t>
      </w:r>
      <w:r w:rsidR="0082312F">
        <w:t xml:space="preserve"> </w:t>
      </w:r>
      <w:r w:rsidRPr="0082312F">
        <w:t>they will ask</w:t>
      </w:r>
      <w:r w:rsidR="0082312F">
        <w:t xml:space="preserve"> </w:t>
      </w:r>
      <w:r w:rsidRPr="0082312F">
        <w:t>the Investment Manager</w:t>
      </w:r>
      <w:r w:rsidR="0082312F">
        <w:t xml:space="preserve"> </w:t>
      </w:r>
      <w:r w:rsidRPr="0082312F">
        <w:t>to take steps to rectify the situation. If the Investment Manager still does not meet the Trustees' requirements, the Trustees will remove the Investment Manager and appoint another.</w:t>
      </w:r>
    </w:p>
    <w:p w:rsidR="00542443" w:rsidRDefault="00C13A3C" w:rsidP="0089538C">
      <w:pPr>
        <w:pStyle w:val="Level2"/>
        <w:keepNext/>
      </w:pPr>
      <w:bookmarkStart w:id="36" w:name="bookmark23"/>
      <w:r w:rsidRPr="0089538C">
        <w:rPr>
          <w:rStyle w:val="Level2asHeadingtext"/>
        </w:rPr>
        <w:t>Advisors</w:t>
      </w:r>
      <w:bookmarkEnd w:id="36"/>
    </w:p>
    <w:p w:rsidR="00542443" w:rsidRPr="0089538C" w:rsidRDefault="00C13A3C" w:rsidP="0089538C">
      <w:pPr>
        <w:pStyle w:val="Body2"/>
      </w:pPr>
      <w:r w:rsidRPr="0089538C">
        <w:t>The Trustees monitor the advice given by the Advisors on a regular basis.</w:t>
      </w:r>
    </w:p>
    <w:p w:rsidR="00542443" w:rsidRDefault="00C13A3C" w:rsidP="0089538C">
      <w:pPr>
        <w:pStyle w:val="Level2"/>
        <w:keepNext/>
      </w:pPr>
      <w:bookmarkStart w:id="37" w:name="bookmark24"/>
      <w:r w:rsidRPr="0089538C">
        <w:rPr>
          <w:rStyle w:val="Level2asHeadingtext"/>
        </w:rPr>
        <w:lastRenderedPageBreak/>
        <w:t>Statement of Investment Principles</w:t>
      </w:r>
      <w:bookmarkEnd w:id="37"/>
    </w:p>
    <w:p w:rsidR="00542443" w:rsidRPr="0089538C" w:rsidRDefault="00C13A3C" w:rsidP="0089538C">
      <w:pPr>
        <w:pStyle w:val="Body2"/>
      </w:pPr>
      <w:r w:rsidRPr="0089538C">
        <w:t>The Trustees will review this SIP at least triennially, or as soon as is practical following any changes to the investment strategy, and modify it with consultation from the relevant Advisors and the Employer if deemed appropriate. There will be no obligation to change this SIP, any Investment Manager, Platform Manager or Advisor as part of such a review.</w:t>
      </w:r>
    </w:p>
    <w:p w:rsidR="00542443" w:rsidRDefault="00C13A3C" w:rsidP="0089538C">
      <w:pPr>
        <w:pStyle w:val="Level2"/>
        <w:keepNext/>
      </w:pPr>
      <w:bookmarkStart w:id="38" w:name="bookmark25"/>
      <w:r w:rsidRPr="0089538C">
        <w:rPr>
          <w:rStyle w:val="Level2asHeadingtext"/>
        </w:rPr>
        <w:t>Trustees recordkeeping</w:t>
      </w:r>
      <w:bookmarkEnd w:id="38"/>
    </w:p>
    <w:p w:rsidR="00542443" w:rsidRDefault="00C13A3C" w:rsidP="0089538C">
      <w:pPr>
        <w:pStyle w:val="Body2"/>
      </w:pPr>
      <w:r w:rsidRPr="0089538C">
        <w:t>The Trustees maintain a record of all investment related decisions they have taken, together with the rationale in each case.</w:t>
      </w:r>
    </w:p>
    <w:p w:rsidR="0089538C" w:rsidRDefault="0089538C" w:rsidP="0089538C">
      <w:pPr>
        <w:pStyle w:val="Body"/>
      </w:pPr>
    </w:p>
    <w:p w:rsidR="0089538C" w:rsidRDefault="0089538C">
      <w:pPr>
        <w:widowControl w:val="0"/>
        <w:jc w:val="left"/>
        <w:rPr>
          <w:rFonts w:eastAsia="Arial" w:cs="Arial"/>
        </w:rPr>
      </w:pPr>
      <w:r>
        <w:br w:type="page"/>
      </w:r>
    </w:p>
    <w:p w:rsidR="00542443" w:rsidRDefault="00F22781" w:rsidP="0089538C">
      <w:pPr>
        <w:pStyle w:val="Level1"/>
        <w:keepNext/>
      </w:pPr>
      <w:r>
        <w:rPr>
          <w:rStyle w:val="Level1asHeadingtext"/>
        </w:rPr>
        <w:lastRenderedPageBreak/>
        <w:fldChar w:fldCharType="begin"/>
      </w:r>
      <w:r w:rsidRPr="00F22781">
        <w:instrText xml:space="preserve">  TC "</w:instrText>
      </w:r>
      <w:r>
        <w:fldChar w:fldCharType="begin"/>
      </w:r>
      <w:r w:rsidRPr="00F22781">
        <w:instrText xml:space="preserve"> REF _Ref437040232 \r </w:instrText>
      </w:r>
      <w:r>
        <w:fldChar w:fldCharType="separate"/>
      </w:r>
      <w:bookmarkStart w:id="39" w:name="_Toc17753351"/>
      <w:r>
        <w:instrText>8</w:instrText>
      </w:r>
      <w:r>
        <w:fldChar w:fldCharType="end"/>
      </w:r>
      <w:r>
        <w:tab/>
        <w:instrText>Fees</w:instrText>
      </w:r>
      <w:bookmarkEnd w:id="39"/>
      <w:r w:rsidRPr="00F22781">
        <w:instrText xml:space="preserve">" \l1 </w:instrText>
      </w:r>
      <w:r>
        <w:rPr>
          <w:rStyle w:val="Level1asHeadingtext"/>
        </w:rPr>
        <w:fldChar w:fldCharType="end"/>
      </w:r>
      <w:bookmarkStart w:id="40" w:name="bookmark26"/>
      <w:bookmarkStart w:id="41" w:name="_Ref437040232"/>
      <w:r w:rsidR="00C13A3C" w:rsidRPr="0089538C">
        <w:rPr>
          <w:rStyle w:val="Level1asHeadingtext"/>
        </w:rPr>
        <w:t>Fees</w:t>
      </w:r>
      <w:bookmarkEnd w:id="40"/>
      <w:bookmarkEnd w:id="41"/>
    </w:p>
    <w:p w:rsidR="00542443" w:rsidRDefault="00C13A3C" w:rsidP="0089538C">
      <w:pPr>
        <w:pStyle w:val="Level2"/>
        <w:keepNext/>
      </w:pPr>
      <w:bookmarkStart w:id="42" w:name="bookmark27"/>
      <w:r w:rsidRPr="0089538C">
        <w:rPr>
          <w:rStyle w:val="Level2asHeadingtext"/>
        </w:rPr>
        <w:t>Managers</w:t>
      </w:r>
      <w:bookmarkEnd w:id="42"/>
    </w:p>
    <w:p w:rsidR="00542443" w:rsidRPr="0089538C" w:rsidRDefault="00C13A3C" w:rsidP="0089538C">
      <w:pPr>
        <w:pStyle w:val="Body2"/>
      </w:pPr>
      <w:r w:rsidRPr="0089538C">
        <w:t xml:space="preserve">Fees are charged as a proportion of the size of assets invested. The charges are reviewed regularly. Details of the fund charges are set out in </w:t>
      </w:r>
      <w:r w:rsidRPr="00C8785C">
        <w:rPr>
          <w:b/>
        </w:rPr>
        <w:t>Appendix B</w:t>
      </w:r>
      <w:r w:rsidRPr="0089538C">
        <w:t>.</w:t>
      </w:r>
    </w:p>
    <w:p w:rsidR="00542443" w:rsidRDefault="00C13A3C" w:rsidP="0089538C">
      <w:pPr>
        <w:pStyle w:val="Level2"/>
        <w:keepNext/>
      </w:pPr>
      <w:bookmarkStart w:id="43" w:name="bookmark28"/>
      <w:r w:rsidRPr="0089538C">
        <w:rPr>
          <w:rStyle w:val="Level2asHeadingtext"/>
        </w:rPr>
        <w:t>Advisors</w:t>
      </w:r>
      <w:bookmarkEnd w:id="43"/>
    </w:p>
    <w:p w:rsidR="00542443" w:rsidRPr="0089538C" w:rsidRDefault="00C13A3C" w:rsidP="0089538C">
      <w:pPr>
        <w:pStyle w:val="Body2"/>
      </w:pPr>
      <w:r w:rsidRPr="0089538C">
        <w:t>Fees paid to the Advisors are based either on actual time spent and hourly rates for relevant individuals, as a basis point charge based on the size of the Fund's assets, or on fixed fees agreed in advance for specifically defined projects.</w:t>
      </w:r>
    </w:p>
    <w:p w:rsidR="00542443" w:rsidRDefault="00C13A3C" w:rsidP="0089538C">
      <w:pPr>
        <w:pStyle w:val="Level2"/>
        <w:keepNext/>
      </w:pPr>
      <w:bookmarkStart w:id="44" w:name="bookmark29"/>
      <w:r w:rsidRPr="0089538C">
        <w:rPr>
          <w:rStyle w:val="Level2asHeadingtext"/>
        </w:rPr>
        <w:t>Custodian</w:t>
      </w:r>
      <w:bookmarkEnd w:id="44"/>
    </w:p>
    <w:p w:rsidR="00542443" w:rsidRPr="0089538C" w:rsidRDefault="00C13A3C" w:rsidP="0089538C">
      <w:pPr>
        <w:pStyle w:val="Body2"/>
      </w:pPr>
      <w:r w:rsidRPr="0089538C">
        <w:t>There is no custodian appointed directly by the Trustees.</w:t>
      </w:r>
    </w:p>
    <w:p w:rsidR="00542443" w:rsidRDefault="00C13A3C" w:rsidP="0089538C">
      <w:pPr>
        <w:pStyle w:val="Level2"/>
        <w:keepNext/>
      </w:pPr>
      <w:bookmarkStart w:id="45" w:name="bookmark30"/>
      <w:r w:rsidRPr="0089538C">
        <w:rPr>
          <w:rStyle w:val="Level2asHeadingtext"/>
        </w:rPr>
        <w:t>Value for members</w:t>
      </w:r>
      <w:bookmarkEnd w:id="45"/>
    </w:p>
    <w:p w:rsidR="00542443" w:rsidRDefault="00C13A3C" w:rsidP="0089538C">
      <w:pPr>
        <w:pStyle w:val="Body2"/>
      </w:pPr>
      <w:r w:rsidRPr="0089538C">
        <w:t>The Trustees review all sources of fees levied on members' accounts (including management charges, additional expenses and platform charges as appropriate), and levels of service provided to ensure that value for members is achieved.</w:t>
      </w:r>
    </w:p>
    <w:p w:rsidR="00C8785C" w:rsidRDefault="00C8785C" w:rsidP="00C8785C">
      <w:pPr>
        <w:pStyle w:val="Body"/>
      </w:pPr>
    </w:p>
    <w:p w:rsidR="00542443" w:rsidRDefault="00C8785C" w:rsidP="00C8785C">
      <w:pPr>
        <w:pStyle w:val="Level1"/>
        <w:keepNext/>
      </w:pPr>
      <w:r w:rsidRPr="00C8785C">
        <w:rPr>
          <w:rStyle w:val="Level1asHeadingtext"/>
        </w:rPr>
        <w:br w:type="page"/>
      </w:r>
      <w:r w:rsidR="00F22781">
        <w:rPr>
          <w:rStyle w:val="Level1asHeadingtext"/>
        </w:rPr>
        <w:lastRenderedPageBreak/>
        <w:fldChar w:fldCharType="begin"/>
      </w:r>
      <w:r w:rsidR="00F22781" w:rsidRPr="00F22781">
        <w:instrText xml:space="preserve">  TC "</w:instrText>
      </w:r>
      <w:r w:rsidR="00F22781">
        <w:fldChar w:fldCharType="begin"/>
      </w:r>
      <w:r w:rsidR="00F22781" w:rsidRPr="00F22781">
        <w:instrText xml:space="preserve"> REF _Ref437040325 \r </w:instrText>
      </w:r>
      <w:r w:rsidR="00F22781">
        <w:fldChar w:fldCharType="separate"/>
      </w:r>
      <w:bookmarkStart w:id="46" w:name="_Toc17753352"/>
      <w:r w:rsidR="00F22781">
        <w:instrText>9</w:instrText>
      </w:r>
      <w:r w:rsidR="00F22781">
        <w:fldChar w:fldCharType="end"/>
      </w:r>
      <w:r w:rsidR="00F22781">
        <w:tab/>
        <w:instrText>Risks</w:instrText>
      </w:r>
      <w:bookmarkEnd w:id="46"/>
      <w:r w:rsidR="00F22781" w:rsidRPr="00F22781">
        <w:instrText xml:space="preserve">" \l1 </w:instrText>
      </w:r>
      <w:r w:rsidR="00F22781">
        <w:rPr>
          <w:rStyle w:val="Level1asHeadingtext"/>
        </w:rPr>
        <w:fldChar w:fldCharType="end"/>
      </w:r>
      <w:bookmarkStart w:id="47" w:name="bookmark31"/>
      <w:bookmarkStart w:id="48" w:name="_Ref437040325"/>
      <w:r>
        <w:rPr>
          <w:rStyle w:val="Level1asHeadingtext"/>
        </w:rPr>
        <w:t>R</w:t>
      </w:r>
      <w:r w:rsidR="00C13A3C" w:rsidRPr="00C8785C">
        <w:rPr>
          <w:rStyle w:val="Level1asHeadingtext"/>
        </w:rPr>
        <w:t>isks</w:t>
      </w:r>
      <w:bookmarkEnd w:id="47"/>
      <w:bookmarkEnd w:id="48"/>
    </w:p>
    <w:p w:rsidR="00542443" w:rsidRPr="00C8785C" w:rsidRDefault="00C13A3C" w:rsidP="00C8785C">
      <w:pPr>
        <w:pStyle w:val="Body1"/>
      </w:pPr>
      <w:r w:rsidRPr="00C8785C">
        <w:t>The Trustees recognise a number of key risks to themselves and to the members of the Fund:</w:t>
      </w:r>
    </w:p>
    <w:p w:rsidR="00542443" w:rsidRPr="00DB6556" w:rsidRDefault="00C13A3C" w:rsidP="00DB6556">
      <w:pPr>
        <w:pStyle w:val="Level3"/>
      </w:pPr>
      <w:r w:rsidRPr="00DB6556">
        <w:rPr>
          <w:b/>
        </w:rPr>
        <w:t>Value for Members Risk</w:t>
      </w:r>
      <w:r w:rsidR="00DB6556">
        <w:t xml:space="preserve"> </w:t>
      </w:r>
      <w:r w:rsidRPr="00DB6556">
        <w:t>-</w:t>
      </w:r>
      <w:r w:rsidR="00DB6556">
        <w:t xml:space="preserve"> </w:t>
      </w:r>
      <w:r w:rsidRPr="00DB6556">
        <w:t>the risk that the Fund fails to offer value for members. This is addressed through regular value for members reviews.</w:t>
      </w:r>
    </w:p>
    <w:p w:rsidR="00542443" w:rsidRPr="00DB6556" w:rsidRDefault="00C13A3C" w:rsidP="00DB6556">
      <w:pPr>
        <w:pStyle w:val="Level3"/>
      </w:pPr>
      <w:r w:rsidRPr="00DB6556">
        <w:rPr>
          <w:b/>
        </w:rPr>
        <w:t>Inflation Risk</w:t>
      </w:r>
      <w:r w:rsidR="00DB6556">
        <w:t xml:space="preserve"> </w:t>
      </w:r>
      <w:r w:rsidRPr="00DB6556">
        <w:t>-</w:t>
      </w:r>
      <w:r w:rsidR="00DB6556">
        <w:t xml:space="preserve"> </w:t>
      </w:r>
      <w:r w:rsidRPr="00DB6556">
        <w:t>the risk</w:t>
      </w:r>
      <w:r w:rsidR="00DB6556">
        <w:t xml:space="preserve"> </w:t>
      </w:r>
      <w:r w:rsidRPr="00DB6556">
        <w:t>that</w:t>
      </w:r>
      <w:r w:rsidR="00DB6556">
        <w:t xml:space="preserve"> </w:t>
      </w:r>
      <w:r w:rsidRPr="00DB6556">
        <w:t>the purchasing power of members' investment accounts is not maintained.</w:t>
      </w:r>
      <w:r w:rsidR="00DB6556">
        <w:t xml:space="preserve"> </w:t>
      </w:r>
      <w:r w:rsidRPr="00DB6556">
        <w:t>To try and manage this risk, the Trustees have offered a range of funds designed to achieve a return above the rate of inflation.</w:t>
      </w:r>
    </w:p>
    <w:p w:rsidR="00542443" w:rsidRPr="00DB6556" w:rsidRDefault="00C13A3C" w:rsidP="00DB6556">
      <w:pPr>
        <w:pStyle w:val="Level3"/>
      </w:pPr>
      <w:r w:rsidRPr="00DB6556">
        <w:rPr>
          <w:b/>
        </w:rPr>
        <w:t>Conversion Risk</w:t>
      </w:r>
      <w:r w:rsidR="00DB6556">
        <w:t xml:space="preserve"> </w:t>
      </w:r>
      <w:r w:rsidRPr="00DB6556">
        <w:t>-</w:t>
      </w:r>
      <w:r w:rsidR="00DB6556">
        <w:t xml:space="preserve"> </w:t>
      </w:r>
      <w:r w:rsidRPr="00DB6556">
        <w:t>the risk</w:t>
      </w:r>
      <w:r w:rsidR="00DB6556">
        <w:t xml:space="preserve"> </w:t>
      </w:r>
      <w:r w:rsidRPr="00DB6556">
        <w:t>that</w:t>
      </w:r>
      <w:r w:rsidR="00DB6556">
        <w:t xml:space="preserve"> </w:t>
      </w:r>
      <w:r w:rsidRPr="00DB6556">
        <w:t>the value of pension benefits that can be purchased by or drawn from a given defined contribution amount is not maintained. This risk cannot easily be mitigated as it depends on market conditions ahead of retirement, and the member's retirement income decisions (i.e. annuity purchase, income drawdown and encashment). Relative to the higher expected risk/return options, these options reduce the risk of large asset value falls adversely impacting the size of pension income which will be provided to members at retirement.</w:t>
      </w:r>
    </w:p>
    <w:p w:rsidR="00542443" w:rsidRPr="00DB6556" w:rsidRDefault="00C13A3C" w:rsidP="00DB6556">
      <w:pPr>
        <w:pStyle w:val="Level3"/>
      </w:pPr>
      <w:r w:rsidRPr="00DB6556">
        <w:rPr>
          <w:b/>
        </w:rPr>
        <w:t>Capital Risk</w:t>
      </w:r>
      <w:r w:rsidRPr="00DB6556">
        <w:t xml:space="preserve"> - the risk that the value of the element to provide a tax-free cash sum or income drawdown pot is not maintained. This could be due to the impact of any of the risks above and is addressed where possible in the same ways.</w:t>
      </w:r>
    </w:p>
    <w:p w:rsidR="00542443" w:rsidRPr="00DB6556" w:rsidRDefault="00C13A3C" w:rsidP="00DB6556">
      <w:pPr>
        <w:pStyle w:val="Level3"/>
      </w:pPr>
      <w:r w:rsidRPr="00DB6556">
        <w:rPr>
          <w:b/>
        </w:rPr>
        <w:t>Active Manager Risk</w:t>
      </w:r>
      <w:r w:rsidR="00DB6556">
        <w:t xml:space="preserve"> </w:t>
      </w:r>
      <w:r w:rsidRPr="00DB6556">
        <w:t>-</w:t>
      </w:r>
      <w:r w:rsidR="00DB6556">
        <w:t xml:space="preserve"> </w:t>
      </w:r>
      <w:r w:rsidRPr="00DB6556">
        <w:t>the risk</w:t>
      </w:r>
      <w:r w:rsidR="00DB6556">
        <w:t xml:space="preserve"> </w:t>
      </w:r>
      <w:r w:rsidRPr="00DB6556">
        <w:t>that</w:t>
      </w:r>
      <w:r w:rsidR="00DB6556">
        <w:t xml:space="preserve"> </w:t>
      </w:r>
      <w:r w:rsidRPr="00DB6556">
        <w:t>the active investments underlying the Fund's investment options underperform due to the underperformance of the underlying investment managers. The Trustees have mitigated this risk by taking advice from its Investment Advisors in relation to active asset management. The Investment Advisor utilises a wide range of funds, diversified across asset classes, sub asset classes and investment managers to reduce the active manager risk.</w:t>
      </w:r>
    </w:p>
    <w:p w:rsidR="00542443" w:rsidRPr="00DB6556" w:rsidRDefault="00C13A3C" w:rsidP="00DB6556">
      <w:pPr>
        <w:pStyle w:val="Level3"/>
      </w:pPr>
      <w:r w:rsidRPr="00DB6556">
        <w:t>Platform Risk-the assets are currently held by the Platform Manager. This risk relates to potential losses that could arise if the Platform Manager ran into financial difficulties. The Trustee's Investment Adviser monitors the Platform Manager regularly.</w:t>
      </w:r>
    </w:p>
    <w:p w:rsidR="00542443" w:rsidRPr="00DB6556" w:rsidRDefault="00C13A3C" w:rsidP="00DB6556">
      <w:pPr>
        <w:pStyle w:val="Level3"/>
      </w:pPr>
      <w:r w:rsidRPr="00DB6556">
        <w:rPr>
          <w:b/>
        </w:rPr>
        <w:t>Manager risk</w:t>
      </w:r>
      <w:r w:rsidR="00DB6556">
        <w:t xml:space="preserve"> </w:t>
      </w:r>
      <w:r w:rsidRPr="00DB6556">
        <w:t>-</w:t>
      </w:r>
      <w:r w:rsidR="00DB6556">
        <w:t xml:space="preserve"> </w:t>
      </w:r>
      <w:r w:rsidRPr="00DB6556">
        <w:t>the assets are invested in funds managed by the Managers. This risk relates to potential losses that could arise if the Managers ran into financial difficulties. This is addressed through understanding the security of members' assets and protections available.</w:t>
      </w:r>
    </w:p>
    <w:p w:rsidR="00542443" w:rsidRPr="00DB6556" w:rsidRDefault="00C13A3C" w:rsidP="00DB6556">
      <w:pPr>
        <w:pStyle w:val="Level3"/>
      </w:pPr>
      <w:r w:rsidRPr="00DB6556">
        <w:rPr>
          <w:b/>
        </w:rPr>
        <w:t>Communication Risk</w:t>
      </w:r>
      <w:r w:rsidR="00DB6556">
        <w:t xml:space="preserve"> </w:t>
      </w:r>
      <w:r w:rsidRPr="00DB6556">
        <w:t>-</w:t>
      </w:r>
      <w:r w:rsidR="00DB6556">
        <w:t xml:space="preserve"> </w:t>
      </w:r>
      <w:r w:rsidRPr="00DB6556">
        <w:t>the risk that communication to members is misleading or unclear and leads to inappropriate decisions being made. This is addressed through the Trustees receiving advice from the Advisors and regular monitoring and updates, where appropriate, of member communications.</w:t>
      </w:r>
    </w:p>
    <w:p w:rsidR="00542443" w:rsidRPr="00DB6556" w:rsidRDefault="00C13A3C" w:rsidP="00DB6556">
      <w:pPr>
        <w:pStyle w:val="Level3"/>
      </w:pPr>
      <w:r w:rsidRPr="00DB6556">
        <w:rPr>
          <w:b/>
        </w:rPr>
        <w:lastRenderedPageBreak/>
        <w:t>Inappropriate Member Decision</w:t>
      </w:r>
      <w:r w:rsidRPr="00DB6556">
        <w:t xml:space="preserve"> - the risk that members make inappropriate decisions regarding their investments. This is addressed where possible through communication to members and the recommendation that members seek independent financial advice. The default investment arrangement operates on a "lifestyling" basis which transitions members' funds into lower risk investments as they approach retirement.</w:t>
      </w:r>
    </w:p>
    <w:p w:rsidR="00542443" w:rsidRPr="00DB6556" w:rsidRDefault="00C13A3C" w:rsidP="00DB6556">
      <w:pPr>
        <w:pStyle w:val="Level3"/>
      </w:pPr>
      <w:r w:rsidRPr="00DB6556">
        <w:rPr>
          <w:b/>
        </w:rPr>
        <w:t>Organisational Risk</w:t>
      </w:r>
      <w:r w:rsidR="00DB6556">
        <w:t xml:space="preserve"> </w:t>
      </w:r>
      <w:r w:rsidRPr="00DB6556">
        <w:t>-</w:t>
      </w:r>
      <w:r w:rsidR="00DB6556">
        <w:t xml:space="preserve"> </w:t>
      </w:r>
      <w:r w:rsidRPr="00DB6556">
        <w:t>the risk of inadequate internal processes leading to problems for the Fund. This is addressed through a regular monitoring of the Investment Managers and Advisors.</w:t>
      </w:r>
    </w:p>
    <w:p w:rsidR="00542443" w:rsidRDefault="00C13A3C" w:rsidP="00DB6556">
      <w:pPr>
        <w:pStyle w:val="Level3"/>
      </w:pPr>
      <w:r w:rsidRPr="00DB6556">
        <w:rPr>
          <w:b/>
        </w:rPr>
        <w:t>Liquidity Risk</w:t>
      </w:r>
      <w:r w:rsidRPr="00DB6556">
        <w:t xml:space="preserve"> - the risk that members are not able to realise the value of their funds when required. The Trustees have addressed this risk by only offering funds which are considered liquid.</w:t>
      </w:r>
    </w:p>
    <w:p w:rsidR="00542443" w:rsidRPr="00DB6556" w:rsidRDefault="00C13A3C" w:rsidP="00DB6556">
      <w:pPr>
        <w:pStyle w:val="Level3"/>
      </w:pPr>
      <w:r w:rsidRPr="00DB6556">
        <w:rPr>
          <w:b/>
        </w:rPr>
        <w:t>ESG Risk</w:t>
      </w:r>
      <w:r w:rsidR="00DB6556">
        <w:t xml:space="preserve"> </w:t>
      </w:r>
      <w:r w:rsidRPr="00DB6556">
        <w:t>-</w:t>
      </w:r>
      <w:r w:rsidR="00DB6556">
        <w:t xml:space="preserve"> </w:t>
      </w:r>
      <w:r w:rsidRPr="00DB6556">
        <w:t>the risk of adverse performance due to ESG related factors including climate change. This is addressed by ESG assessment at the point of investment with the Managers where applicable, or by requesting information on the ESG policies, adopted by the Managers.</w:t>
      </w:r>
    </w:p>
    <w:p w:rsidR="00542443" w:rsidRPr="00DB6556" w:rsidRDefault="00C13A3C" w:rsidP="00DB6556">
      <w:pPr>
        <w:pStyle w:val="Body2"/>
      </w:pPr>
      <w:r w:rsidRPr="00DB6556">
        <w:t>The Trustees have provided a default option that aims to address the above risks through a member's life. The Investment Adviser may vary the underlying asset allocation and investment managers within this option from time to time in response to changing market conditions and manager developments.</w:t>
      </w:r>
    </w:p>
    <w:p w:rsidR="00542443" w:rsidRPr="00DB6556" w:rsidRDefault="00C13A3C" w:rsidP="00DB6556">
      <w:pPr>
        <w:pStyle w:val="Body2"/>
      </w:pPr>
      <w:r w:rsidRPr="00DB6556">
        <w:t>The Trustees also provide members with a range of Self-Select investment options into which they may direct their contributions so as to allow each member to determine the appropriate mix of investments based on their own attitude to risk, terms to retirement and investment objective.</w:t>
      </w:r>
    </w:p>
    <w:p w:rsidR="00542443" w:rsidRPr="00DB6556" w:rsidRDefault="00C13A3C" w:rsidP="00DB6556">
      <w:pPr>
        <w:pStyle w:val="Body2"/>
      </w:pPr>
      <w:r w:rsidRPr="00DB6556">
        <w:t>The Trustees are also aware of the importance of safe custody of members'</w:t>
      </w:r>
      <w:r w:rsidR="00DB6556">
        <w:t xml:space="preserve"> </w:t>
      </w:r>
      <w:r w:rsidRPr="00DB6556">
        <w:t>funds, to safeguard the security of their investments. Accordingly, appropriate due diligence is done on the custody and administration agreements of the underlying investment managers before an appointment is made and this is reviewed regularly by the Advisors in conjunction with the Trustees.</w:t>
      </w:r>
    </w:p>
    <w:p w:rsidR="00542443" w:rsidRPr="00DB6556" w:rsidRDefault="00C13A3C" w:rsidP="00DB6556">
      <w:pPr>
        <w:pStyle w:val="Body2"/>
      </w:pPr>
      <w:r w:rsidRPr="00DB6556">
        <w:t>In addition to the risks noted above, the Trustees also recognise the options they have selected are subject to underperformance risk. This is addressed through providing options with appropriate diversification and through regular monitoring of the active managers' performance, processes and capabilities with respect to their mandate, as well as by the use of more than one manager to avoid over exposure to one organisation.</w:t>
      </w:r>
    </w:p>
    <w:p w:rsidR="00542443" w:rsidRPr="00DB6556" w:rsidRDefault="00C13A3C" w:rsidP="00DB6556">
      <w:pPr>
        <w:pStyle w:val="Body2"/>
      </w:pPr>
      <w:r w:rsidRPr="00DB6556">
        <w:t>The Trustees recognise that an efficient process for identifying, evaluating, managing and monitoring risks needs to be in place for the Fund. The Trustees will identify and assess the impact of any risk, what controls can be put in place to manage the risk and review both the individual risks and the effectiveness of the risk management process as a whole.</w:t>
      </w:r>
    </w:p>
    <w:p w:rsidR="00542443" w:rsidRDefault="00C13A3C" w:rsidP="00DB6556">
      <w:pPr>
        <w:pStyle w:val="Body2"/>
      </w:pPr>
      <w:r w:rsidRPr="00DB6556">
        <w:lastRenderedPageBreak/>
        <w:t>The Trustees recognise that an efficient process for identifying, evaluating, managing and monitoring risk needs to be in place for the Fund. The Trustees will identify and assess the impact of any risk, what controls can be put in place to manage or identify risk and regularly review both the individual risks and the effectiveness of the risk management process as a whole.</w:t>
      </w:r>
    </w:p>
    <w:p w:rsidR="00DB6556" w:rsidRDefault="00DB6556" w:rsidP="00DB6556">
      <w:pPr>
        <w:pStyle w:val="Body"/>
      </w:pPr>
    </w:p>
    <w:p w:rsidR="00DB6556" w:rsidRDefault="00DB6556">
      <w:pPr>
        <w:widowControl w:val="0"/>
        <w:jc w:val="left"/>
        <w:rPr>
          <w:rFonts w:eastAsia="Arial" w:cs="Arial"/>
        </w:rPr>
      </w:pPr>
      <w:r>
        <w:br w:type="page"/>
      </w:r>
    </w:p>
    <w:p w:rsidR="00542443" w:rsidRDefault="00F22781" w:rsidP="00DB6556">
      <w:pPr>
        <w:pStyle w:val="Level1"/>
        <w:keepNext/>
      </w:pPr>
      <w:r>
        <w:rPr>
          <w:rStyle w:val="Level1asHeadingtext"/>
        </w:rPr>
        <w:lastRenderedPageBreak/>
        <w:fldChar w:fldCharType="begin"/>
      </w:r>
      <w:r w:rsidRPr="00F22781">
        <w:instrText xml:space="preserve">  TC "</w:instrText>
      </w:r>
      <w:r>
        <w:fldChar w:fldCharType="begin"/>
      </w:r>
      <w:r w:rsidRPr="00F22781">
        <w:instrText xml:space="preserve"> REF _Ref437040450 \r </w:instrText>
      </w:r>
      <w:r>
        <w:fldChar w:fldCharType="separate"/>
      </w:r>
      <w:bookmarkStart w:id="49" w:name="_Toc17753353"/>
      <w:r>
        <w:instrText>10</w:instrText>
      </w:r>
      <w:r>
        <w:fldChar w:fldCharType="end"/>
      </w:r>
      <w:r>
        <w:tab/>
        <w:instrText>Other Risks</w:instrText>
      </w:r>
      <w:bookmarkEnd w:id="49"/>
      <w:r w:rsidRPr="00F22781">
        <w:instrText xml:space="preserve">" \l1 </w:instrText>
      </w:r>
      <w:r>
        <w:rPr>
          <w:rStyle w:val="Level1asHeadingtext"/>
        </w:rPr>
        <w:fldChar w:fldCharType="end"/>
      </w:r>
      <w:bookmarkStart w:id="50" w:name="bookmark32"/>
      <w:bookmarkStart w:id="51" w:name="_Ref437040450"/>
      <w:r w:rsidR="00C13A3C" w:rsidRPr="00DB6556">
        <w:rPr>
          <w:rStyle w:val="Level1asHeadingtext"/>
        </w:rPr>
        <w:t>Other Risks</w:t>
      </w:r>
      <w:bookmarkEnd w:id="50"/>
      <w:bookmarkEnd w:id="51"/>
    </w:p>
    <w:p w:rsidR="00542443" w:rsidRDefault="00C13A3C" w:rsidP="00DB6556">
      <w:pPr>
        <w:pStyle w:val="Level2"/>
        <w:keepNext/>
      </w:pPr>
      <w:bookmarkStart w:id="52" w:name="bookmark33"/>
      <w:r w:rsidRPr="00DB6556">
        <w:rPr>
          <w:rStyle w:val="Level2asHeadingtext"/>
        </w:rPr>
        <w:t>Corporate governance and stewardship policy</w:t>
      </w:r>
      <w:bookmarkEnd w:id="52"/>
    </w:p>
    <w:p w:rsidR="00542443" w:rsidRPr="00DB6556" w:rsidRDefault="00C13A3C" w:rsidP="00DB6556">
      <w:pPr>
        <w:pStyle w:val="Body2"/>
      </w:pPr>
      <w:r w:rsidRPr="00DB6556">
        <w:t>The Fund's investments are made via pooled investment funds, in which the Fund's investments are pooled with those of other investors. As such, direct control of the process of engaging with the companies that issue these securities, whether for corporate governance purposes or other financially material considerations, is delegated to the Investment Managers. The Trustees will review all information provided by the Investment Managers about the actions they have taken to promote good corporate governance and their stewardship policies.</w:t>
      </w:r>
    </w:p>
    <w:p w:rsidR="00542443" w:rsidRDefault="00C13A3C" w:rsidP="00DB6556">
      <w:pPr>
        <w:pStyle w:val="Level2"/>
        <w:keepNext/>
      </w:pPr>
      <w:bookmarkStart w:id="53" w:name="bookmark34"/>
      <w:r w:rsidRPr="00DB6556">
        <w:rPr>
          <w:rStyle w:val="Level2asHeadingtext"/>
        </w:rPr>
        <w:t>Financially material investment considerations</w:t>
      </w:r>
      <w:bookmarkEnd w:id="53"/>
    </w:p>
    <w:p w:rsidR="00542443" w:rsidRPr="00DB6556" w:rsidRDefault="00C13A3C" w:rsidP="00DB6556">
      <w:pPr>
        <w:pStyle w:val="Body2"/>
      </w:pPr>
      <w:r w:rsidRPr="00DB6556">
        <w:t>The Trustee understands that environmental, social and governance considerations including climate change ("</w:t>
      </w:r>
      <w:r w:rsidRPr="00DB6556">
        <w:rPr>
          <w:b/>
        </w:rPr>
        <w:t>ESG Considerations</w:t>
      </w:r>
      <w:r w:rsidRPr="00DB6556">
        <w:t>") are financially material considerations which can affect the long-term financial performance of investments. The selection of specific investments is made by the Investment Managers. The Trustees expect the Investment Managers to take ESG Considerations into account in their risk analysis and investment processes when selecting investments, for both the default Lifestyle arrangement and the Self- Select Options. When reviewing the performance of the Investment Managers the Trustees will also review, with input from the Investment Adviser, how the Investment Managers are taking account of ESG Considerations, and will review all information provided by the Investment Managers about their approach to dealing with ESG Considerations.</w:t>
      </w:r>
    </w:p>
    <w:p w:rsidR="00542443" w:rsidRPr="00632B29" w:rsidRDefault="00C13A3C" w:rsidP="00632B29">
      <w:pPr>
        <w:pStyle w:val="Body2"/>
      </w:pPr>
      <w:r w:rsidRPr="00632B29">
        <w:t>ESG Considerations and stewardship are considered by the Trustees (in conjunction with its advisors) in the context of the expected long term performance of investments and the length of time in which members'</w:t>
      </w:r>
      <w:r w:rsidR="00632B29">
        <w:t xml:space="preserve"> </w:t>
      </w:r>
      <w:r w:rsidRPr="00632B29">
        <w:t>fun</w:t>
      </w:r>
      <w:r w:rsidR="00632B29">
        <w:t>ds are expected to be invested.</w:t>
      </w:r>
    </w:p>
    <w:p w:rsidR="00542443" w:rsidRDefault="00C13A3C" w:rsidP="00632B29">
      <w:pPr>
        <w:pStyle w:val="Level2"/>
        <w:keepNext/>
      </w:pPr>
      <w:bookmarkStart w:id="54" w:name="bookmark35"/>
      <w:r w:rsidRPr="00632B29">
        <w:rPr>
          <w:rStyle w:val="Level2asHeadingtext"/>
        </w:rPr>
        <w:t>Non-financially material investment considerations</w:t>
      </w:r>
      <w:bookmarkEnd w:id="54"/>
    </w:p>
    <w:p w:rsidR="00542443" w:rsidRDefault="00C13A3C" w:rsidP="00632B29">
      <w:pPr>
        <w:pStyle w:val="Body2"/>
      </w:pPr>
      <w:r w:rsidRPr="00632B29">
        <w:t>The Trustees do not at present take into account non-financially material factors (such as members' ethical considerations, social and environmental impact matters or future quality of life considerations for members and beneficiaries) when making investment decisions as part of the default arrangement, as there is no likely common view on any ethical matters which members are likely to hold. At this time the Trustees have no plans to seek the views of the membership on ethical considerations. This policy is reviewed periodically.</w:t>
      </w:r>
    </w:p>
    <w:p w:rsidR="00B5663A" w:rsidRDefault="00B5663A">
      <w:pPr>
        <w:widowControl w:val="0"/>
        <w:jc w:val="left"/>
        <w:rPr>
          <w:rFonts w:eastAsia="Arial" w:cs="Arial"/>
        </w:rPr>
      </w:pPr>
      <w:r>
        <w:br w:type="page"/>
      </w:r>
    </w:p>
    <w:p w:rsidR="00542443" w:rsidRPr="00B5663A" w:rsidRDefault="0067690E" w:rsidP="00632B29">
      <w:pPr>
        <w:pStyle w:val="Body"/>
        <w:keepNext/>
        <w:rPr>
          <w:b/>
          <w:color w:val="999999"/>
          <w:sz w:val="32"/>
          <w:szCs w:val="32"/>
        </w:rPr>
      </w:pPr>
      <w:r>
        <w:rPr>
          <w:b/>
          <w:color w:val="999999"/>
          <w:sz w:val="32"/>
          <w:szCs w:val="32"/>
        </w:rPr>
        <w:lastRenderedPageBreak/>
        <w:fldChar w:fldCharType="begin"/>
      </w:r>
      <w:r w:rsidRPr="0067690E">
        <w:instrText xml:space="preserve">  TC "</w:instrText>
      </w:r>
      <w:bookmarkStart w:id="55" w:name="_Toc17753354"/>
      <w:r>
        <w:instrText>Appendix A - Responsibilities</w:instrText>
      </w:r>
      <w:bookmarkEnd w:id="55"/>
      <w:r w:rsidRPr="0067690E">
        <w:instrText xml:space="preserve">" \l1 </w:instrText>
      </w:r>
      <w:r>
        <w:rPr>
          <w:b/>
          <w:color w:val="999999"/>
          <w:sz w:val="32"/>
          <w:szCs w:val="32"/>
        </w:rPr>
        <w:fldChar w:fldCharType="end"/>
      </w:r>
      <w:bookmarkStart w:id="56" w:name="bookmark36"/>
      <w:r w:rsidR="00C13A3C" w:rsidRPr="00B5663A">
        <w:rPr>
          <w:b/>
          <w:color w:val="999999"/>
          <w:sz w:val="32"/>
          <w:szCs w:val="32"/>
        </w:rPr>
        <w:t>Appendix A - Responsibilities</w:t>
      </w:r>
      <w:bookmarkEnd w:id="56"/>
    </w:p>
    <w:p w:rsidR="00542443" w:rsidRPr="00632B29" w:rsidRDefault="00C13A3C" w:rsidP="00632B29">
      <w:pPr>
        <w:pStyle w:val="Body"/>
        <w:keepNext/>
        <w:rPr>
          <w:sz w:val="28"/>
          <w:szCs w:val="28"/>
        </w:rPr>
      </w:pPr>
      <w:bookmarkStart w:id="57" w:name="bookmark37"/>
      <w:r w:rsidRPr="00632B29">
        <w:rPr>
          <w:sz w:val="28"/>
          <w:szCs w:val="28"/>
        </w:rPr>
        <w:t>Trustees</w:t>
      </w:r>
      <w:bookmarkEnd w:id="57"/>
    </w:p>
    <w:p w:rsidR="00542443" w:rsidRPr="00632B29" w:rsidRDefault="00C13A3C" w:rsidP="00632B29">
      <w:pPr>
        <w:pStyle w:val="Body"/>
      </w:pPr>
      <w:r w:rsidRPr="00632B29">
        <w:t>The main investment related responsibilities of the Trustees of the Fund include:</w:t>
      </w:r>
    </w:p>
    <w:p w:rsidR="00542443" w:rsidRPr="00632B29" w:rsidRDefault="00C13A3C" w:rsidP="00632B29">
      <w:pPr>
        <w:pStyle w:val="Level3"/>
      </w:pPr>
      <w:r w:rsidRPr="00632B29">
        <w:t>Reviewing, at least triennially (or following significant changes to the investment strategy), the content of this SIP and modifying it if deemed appropriate.</w:t>
      </w:r>
    </w:p>
    <w:p w:rsidR="00542443" w:rsidRPr="00632B29" w:rsidRDefault="00C13A3C" w:rsidP="00632B29">
      <w:pPr>
        <w:pStyle w:val="Level3"/>
      </w:pPr>
      <w:r w:rsidRPr="00632B29">
        <w:t>Reviewing the investment policy for the Fund in terms of providing a range of funds from which members may choose to invest (see Appendix B).</w:t>
      </w:r>
    </w:p>
    <w:p w:rsidR="00542443" w:rsidRPr="00632B29" w:rsidRDefault="00C13A3C" w:rsidP="00632B29">
      <w:pPr>
        <w:pStyle w:val="Level3"/>
      </w:pPr>
      <w:r w:rsidRPr="00632B29">
        <w:t>Assessing the quality of the performance and process of the Investment Managers by means of regular reviews of the investment results and other information, through meetings and written reports.</w:t>
      </w:r>
    </w:p>
    <w:p w:rsidR="00542443" w:rsidRPr="00632B29" w:rsidRDefault="00C13A3C" w:rsidP="00632B29">
      <w:pPr>
        <w:pStyle w:val="Level3"/>
      </w:pPr>
      <w:r w:rsidRPr="00632B29">
        <w:t>Monitoring compliance of the investment arrangements with the SIP on an ongoing basis.</w:t>
      </w:r>
    </w:p>
    <w:p w:rsidR="00542443" w:rsidRPr="00632B29" w:rsidRDefault="00C13A3C" w:rsidP="00632B29">
      <w:pPr>
        <w:pStyle w:val="Level3"/>
      </w:pPr>
      <w:r w:rsidRPr="00632B29">
        <w:t>Appointing and dismissing Platform Managers and Investment Managers.</w:t>
      </w:r>
    </w:p>
    <w:p w:rsidR="00542443" w:rsidRPr="00632B29" w:rsidRDefault="00C13A3C" w:rsidP="00632B29">
      <w:pPr>
        <w:pStyle w:val="Level3"/>
      </w:pPr>
      <w:r w:rsidRPr="00632B29">
        <w:t>Assessing the performance of the Advisors.</w:t>
      </w:r>
    </w:p>
    <w:p w:rsidR="00542443" w:rsidRPr="00632B29" w:rsidRDefault="00C13A3C" w:rsidP="00632B29">
      <w:pPr>
        <w:pStyle w:val="Level3"/>
      </w:pPr>
      <w:r w:rsidRPr="00632B29">
        <w:t>Consulting with the Employer when reviewing investment policy issues.</w:t>
      </w:r>
    </w:p>
    <w:p w:rsidR="00542443" w:rsidRPr="00632B29" w:rsidRDefault="00C13A3C" w:rsidP="00632B29">
      <w:pPr>
        <w:pStyle w:val="Level3"/>
      </w:pPr>
      <w:r w:rsidRPr="00632B29">
        <w:t>Providing any appointed organisations/individuals with a copy of the SIP, where appropriate.</w:t>
      </w:r>
    </w:p>
    <w:p w:rsidR="00542443" w:rsidRPr="00632B29" w:rsidRDefault="00C13A3C" w:rsidP="00632B29">
      <w:pPr>
        <w:pStyle w:val="Body"/>
        <w:keepNext/>
        <w:rPr>
          <w:sz w:val="28"/>
          <w:szCs w:val="28"/>
        </w:rPr>
      </w:pPr>
      <w:bookmarkStart w:id="58" w:name="bookmark38"/>
      <w:r w:rsidRPr="00632B29">
        <w:rPr>
          <w:sz w:val="28"/>
          <w:szCs w:val="28"/>
        </w:rPr>
        <w:t>Platform Manager</w:t>
      </w:r>
      <w:bookmarkEnd w:id="58"/>
    </w:p>
    <w:p w:rsidR="00542443" w:rsidRPr="00632B29" w:rsidRDefault="00C13A3C" w:rsidP="00632B29">
      <w:pPr>
        <w:pStyle w:val="Body"/>
      </w:pPr>
      <w:r w:rsidRPr="00632B29">
        <w:t>The main responsibilities of the Platform Manager are:</w:t>
      </w:r>
    </w:p>
    <w:p w:rsidR="00542443" w:rsidRPr="00632B29" w:rsidRDefault="00C13A3C" w:rsidP="00632B29">
      <w:pPr>
        <w:pStyle w:val="Level3"/>
        <w:numPr>
          <w:ilvl w:val="2"/>
          <w:numId w:val="36"/>
        </w:numPr>
      </w:pPr>
      <w:r w:rsidRPr="00632B29">
        <w:t>At its discretion, but within the guidelines agreed with the Trustees, selecting and undertaking transactions in specific investments within each fund.</w:t>
      </w:r>
    </w:p>
    <w:p w:rsidR="00542443" w:rsidRPr="00632B29" w:rsidRDefault="00C13A3C" w:rsidP="00632B29">
      <w:pPr>
        <w:pStyle w:val="Level3"/>
      </w:pPr>
      <w:r w:rsidRPr="00632B29">
        <w:t>Acting in accordance with the principles set out in the SIP.</w:t>
      </w:r>
    </w:p>
    <w:p w:rsidR="00542443" w:rsidRPr="00632B29" w:rsidRDefault="00C13A3C" w:rsidP="00632B29">
      <w:pPr>
        <w:pStyle w:val="Level3"/>
      </w:pPr>
      <w:r w:rsidRPr="00632B29">
        <w:t>Providing the Trustees (via the Investment Manager) with sufficient information each quarter to facilitate the review of its activities, including:</w:t>
      </w:r>
    </w:p>
    <w:p w:rsidR="00542443" w:rsidRPr="00632B29" w:rsidRDefault="00C13A3C" w:rsidP="00632B29">
      <w:pPr>
        <w:pStyle w:val="Bullet3"/>
      </w:pPr>
      <w:r w:rsidRPr="00632B29">
        <w:t>Performance and rationale behind past and future strategy for fund options offered to members.</w:t>
      </w:r>
    </w:p>
    <w:p w:rsidR="00542443" w:rsidRPr="00632B29" w:rsidRDefault="00C13A3C" w:rsidP="00632B29">
      <w:pPr>
        <w:pStyle w:val="Bullet3"/>
      </w:pPr>
      <w:r w:rsidRPr="00632B29">
        <w:t>A full valuation of the assets.</w:t>
      </w:r>
    </w:p>
    <w:p w:rsidR="00542443" w:rsidRPr="00632B29" w:rsidRDefault="00C13A3C" w:rsidP="00632B29">
      <w:pPr>
        <w:pStyle w:val="Bullet3"/>
      </w:pPr>
      <w:r w:rsidRPr="00632B29">
        <w:lastRenderedPageBreak/>
        <w:t>A transaction report.</w:t>
      </w:r>
    </w:p>
    <w:p w:rsidR="00542443" w:rsidRPr="00632B29" w:rsidRDefault="00C13A3C" w:rsidP="00632B29">
      <w:pPr>
        <w:pStyle w:val="Level3"/>
      </w:pPr>
      <w:r w:rsidRPr="00632B29">
        <w:t>Informing the Trustees immediately of:</w:t>
      </w:r>
    </w:p>
    <w:p w:rsidR="00542443" w:rsidRPr="00632B29" w:rsidRDefault="00C13A3C" w:rsidP="00632B29">
      <w:pPr>
        <w:pStyle w:val="Bullet3"/>
      </w:pPr>
      <w:r w:rsidRPr="00632B29">
        <w:t>Any breach of this SIP in relation to services carried out by the Platform Manager.</w:t>
      </w:r>
    </w:p>
    <w:p w:rsidR="00542443" w:rsidRPr="00632B29" w:rsidRDefault="00C13A3C" w:rsidP="00632B29">
      <w:pPr>
        <w:pStyle w:val="Bullet3"/>
      </w:pPr>
      <w:r w:rsidRPr="00632B29">
        <w:t>Any serious breach of internal operating procedures.</w:t>
      </w:r>
    </w:p>
    <w:p w:rsidR="00542443" w:rsidRDefault="00C13A3C" w:rsidP="00632B29">
      <w:pPr>
        <w:pStyle w:val="Bullet3"/>
      </w:pPr>
      <w:r w:rsidRPr="00632B29">
        <w:t>Any material change in the knowledge and experience of those involved in managing the Fund's investment options.</w:t>
      </w:r>
    </w:p>
    <w:p w:rsidR="00632B29" w:rsidRPr="00632B29" w:rsidRDefault="00632B29" w:rsidP="00632B29">
      <w:pPr>
        <w:pStyle w:val="Body"/>
        <w:rPr>
          <w:sz w:val="28"/>
          <w:szCs w:val="28"/>
        </w:rPr>
      </w:pPr>
      <w:bookmarkStart w:id="59" w:name="bookmark39"/>
      <w:r w:rsidRPr="00632B29">
        <w:rPr>
          <w:sz w:val="28"/>
          <w:szCs w:val="28"/>
        </w:rPr>
        <w:t>Investment Advisor</w:t>
      </w:r>
      <w:bookmarkEnd w:id="59"/>
    </w:p>
    <w:p w:rsidR="00632B29" w:rsidRPr="00632B29" w:rsidRDefault="00632B29" w:rsidP="00632B29">
      <w:pPr>
        <w:pStyle w:val="Body"/>
      </w:pPr>
      <w:r w:rsidRPr="00632B29">
        <w:t>The main responsibilities of the Investment Advisor are:</w:t>
      </w:r>
    </w:p>
    <w:p w:rsidR="00632B29" w:rsidRPr="00632B29" w:rsidRDefault="00632B29" w:rsidP="007615A3">
      <w:pPr>
        <w:pStyle w:val="Level3"/>
        <w:numPr>
          <w:ilvl w:val="2"/>
          <w:numId w:val="38"/>
        </w:numPr>
      </w:pPr>
      <w:r w:rsidRPr="00632B29">
        <w:t>Participating with the Trustees in reviews of this SIP.</w:t>
      </w:r>
    </w:p>
    <w:p w:rsidR="00632B29" w:rsidRPr="00632B29" w:rsidRDefault="00632B29" w:rsidP="00632B29">
      <w:pPr>
        <w:pStyle w:val="Level3"/>
      </w:pPr>
      <w:r w:rsidRPr="00632B29">
        <w:t>Advising the Trustees of any changes in the Fund's Investment Managers or Platform Manager that could affect the interests of the Fund.</w:t>
      </w:r>
    </w:p>
    <w:p w:rsidR="00632B29" w:rsidRPr="00632B29" w:rsidRDefault="00632B29" w:rsidP="00632B29">
      <w:pPr>
        <w:pStyle w:val="Level3"/>
      </w:pPr>
      <w:r w:rsidRPr="00632B29">
        <w:t>Advising the Trustees of any changes in the investment environment that could either present opportunities or problems for the Fund.</w:t>
      </w:r>
    </w:p>
    <w:p w:rsidR="00632B29" w:rsidRPr="00632B29" w:rsidRDefault="00632B29" w:rsidP="00632B29">
      <w:pPr>
        <w:pStyle w:val="Level3"/>
      </w:pPr>
      <w:r w:rsidRPr="00632B29">
        <w:t>Undertaking reviews of the Fund's investment arrangements including reviews of the Fund structure, current Investment Managers, and selection of new managers as appropriate.</w:t>
      </w:r>
    </w:p>
    <w:p w:rsidR="00632B29" w:rsidRPr="00632B29" w:rsidRDefault="00632B29" w:rsidP="00632B29">
      <w:pPr>
        <w:pStyle w:val="Body"/>
        <w:rPr>
          <w:sz w:val="28"/>
          <w:szCs w:val="28"/>
        </w:rPr>
      </w:pPr>
      <w:bookmarkStart w:id="60" w:name="bookmark40"/>
      <w:r w:rsidRPr="00632B29">
        <w:rPr>
          <w:sz w:val="28"/>
          <w:szCs w:val="28"/>
        </w:rPr>
        <w:t>Legal Advisor</w:t>
      </w:r>
      <w:bookmarkEnd w:id="60"/>
    </w:p>
    <w:p w:rsidR="00632B29" w:rsidRPr="007615A3" w:rsidRDefault="00632B29" w:rsidP="007615A3">
      <w:pPr>
        <w:pStyle w:val="Body"/>
      </w:pPr>
      <w:r w:rsidRPr="007615A3">
        <w:t>The Legal Advisor will be responsible for, amongst other</w:t>
      </w:r>
      <w:r w:rsidR="007615A3">
        <w:t xml:space="preserve"> </w:t>
      </w:r>
      <w:r w:rsidRPr="007615A3">
        <w:t>things:</w:t>
      </w:r>
    </w:p>
    <w:p w:rsidR="007615A3" w:rsidRDefault="00632B29" w:rsidP="007615A3">
      <w:pPr>
        <w:pStyle w:val="Level3"/>
        <w:numPr>
          <w:ilvl w:val="2"/>
          <w:numId w:val="37"/>
        </w:numPr>
      </w:pPr>
      <w:r w:rsidRPr="007615A3">
        <w:t>Liaising with the Trustees to ensure legal compliance including those in respect of investment matters</w:t>
      </w:r>
      <w:r w:rsidR="007615A3">
        <w:t>.</w:t>
      </w:r>
    </w:p>
    <w:p w:rsidR="007615A3" w:rsidRDefault="007615A3" w:rsidP="007615A3">
      <w:pPr>
        <w:pStyle w:val="Body"/>
      </w:pPr>
    </w:p>
    <w:p w:rsidR="007615A3" w:rsidRDefault="007615A3" w:rsidP="007615A3">
      <w:pPr>
        <w:pStyle w:val="Body"/>
      </w:pPr>
      <w:r>
        <w:br w:type="page"/>
      </w:r>
    </w:p>
    <w:p w:rsidR="007615A3" w:rsidRPr="00B5663A" w:rsidRDefault="0067690E" w:rsidP="007615A3">
      <w:pPr>
        <w:pStyle w:val="Body"/>
        <w:rPr>
          <w:b/>
          <w:color w:val="999999"/>
          <w:sz w:val="32"/>
          <w:szCs w:val="32"/>
        </w:rPr>
      </w:pPr>
      <w:r>
        <w:rPr>
          <w:b/>
          <w:color w:val="999999"/>
          <w:sz w:val="32"/>
          <w:szCs w:val="32"/>
        </w:rPr>
        <w:lastRenderedPageBreak/>
        <w:fldChar w:fldCharType="begin"/>
      </w:r>
      <w:r w:rsidRPr="0067690E">
        <w:instrText xml:space="preserve">  TC "</w:instrText>
      </w:r>
      <w:bookmarkStart w:id="61" w:name="_Toc17753355"/>
      <w:r>
        <w:instrText>Appendix B - Investment options</w:instrText>
      </w:r>
      <w:bookmarkEnd w:id="61"/>
      <w:r w:rsidRPr="0067690E">
        <w:instrText xml:space="preserve">" \l1 </w:instrText>
      </w:r>
      <w:r>
        <w:rPr>
          <w:b/>
          <w:color w:val="999999"/>
          <w:sz w:val="32"/>
          <w:szCs w:val="32"/>
        </w:rPr>
        <w:fldChar w:fldCharType="end"/>
      </w:r>
      <w:r w:rsidR="007615A3" w:rsidRPr="00B5663A">
        <w:rPr>
          <w:b/>
          <w:color w:val="999999"/>
          <w:sz w:val="32"/>
          <w:szCs w:val="32"/>
        </w:rPr>
        <w:t>Appendix B - Investment options</w:t>
      </w:r>
    </w:p>
    <w:p w:rsidR="007615A3" w:rsidRPr="007615A3" w:rsidRDefault="007615A3" w:rsidP="007615A3">
      <w:pPr>
        <w:pStyle w:val="Body"/>
      </w:pPr>
      <w:r w:rsidRPr="007615A3">
        <w:t>This Appendix provides detail on the investment choices for active members alongside return objectives and risk</w:t>
      </w:r>
      <w:r>
        <w:t xml:space="preserve"> </w:t>
      </w:r>
      <w:r w:rsidRPr="007615A3">
        <w:t>management guidelines.</w:t>
      </w:r>
    </w:p>
    <w:p w:rsidR="007615A3" w:rsidRPr="007615A3" w:rsidRDefault="007615A3" w:rsidP="007615A3">
      <w:pPr>
        <w:pStyle w:val="Body"/>
      </w:pPr>
      <w:r w:rsidRPr="007615A3">
        <w:t xml:space="preserve">The Trustees provide a </w:t>
      </w:r>
      <w:r w:rsidRPr="007615A3">
        <w:rPr>
          <w:b/>
        </w:rPr>
        <w:t>Lifestyle</w:t>
      </w:r>
      <w:r w:rsidRPr="007615A3">
        <w:t xml:space="preserve"> arrangement for members who prefer to invest in a pre-determined investment</w:t>
      </w:r>
      <w:r>
        <w:t xml:space="preserve"> </w:t>
      </w:r>
      <w:r w:rsidRPr="007615A3">
        <w:t>strategy. For this option, the asset allocation automatically changes as members approach retirement to reflect</w:t>
      </w:r>
      <w:r>
        <w:t xml:space="preserve"> </w:t>
      </w:r>
      <w:r w:rsidRPr="007615A3">
        <w:t>members' changing risk and return requirements.</w:t>
      </w:r>
    </w:p>
    <w:p w:rsidR="007615A3" w:rsidRPr="007615A3" w:rsidRDefault="007615A3" w:rsidP="007615A3">
      <w:pPr>
        <w:pStyle w:val="Body"/>
      </w:pPr>
      <w:r w:rsidRPr="007615A3">
        <w:t xml:space="preserve">Alternatively, members can choose from a range of </w:t>
      </w:r>
      <w:r w:rsidRPr="007615A3">
        <w:rPr>
          <w:b/>
        </w:rPr>
        <w:t>Self-Select</w:t>
      </w:r>
      <w:r w:rsidRPr="007615A3">
        <w:t xml:space="preserve"> investment options, which allows them to determine</w:t>
      </w:r>
      <w:r>
        <w:t xml:space="preserve"> </w:t>
      </w:r>
      <w:r w:rsidRPr="007615A3">
        <w:t>the appropriate mix of investments based on their own attitude to risk, term to retirement and investment objective.</w:t>
      </w:r>
    </w:p>
    <w:p w:rsidR="007615A3" w:rsidRPr="007615A3" w:rsidRDefault="007615A3" w:rsidP="007615A3">
      <w:pPr>
        <w:pStyle w:val="Body"/>
      </w:pPr>
      <w:r w:rsidRPr="007615A3">
        <w:t>As at the date of this SIP, the majority of members have transferred to a contract based arrangement, and the scheme</w:t>
      </w:r>
      <w:r>
        <w:t xml:space="preserve"> </w:t>
      </w:r>
      <w:r w:rsidRPr="007615A3">
        <w:t>is in the process of winding up. The investment strategy currently in place is an "interim" strategy, reflecting the</w:t>
      </w:r>
      <w:r>
        <w:t xml:space="preserve"> </w:t>
      </w:r>
      <w:r w:rsidRPr="007615A3">
        <w:t>strategy that the small number of members currently in the Scheme will ultimately move to when transferring to the</w:t>
      </w:r>
      <w:r>
        <w:t xml:space="preserve"> </w:t>
      </w:r>
      <w:r w:rsidRPr="007615A3">
        <w:t>new contract based arrangement.</w:t>
      </w:r>
    </w:p>
    <w:p w:rsidR="007615A3" w:rsidRPr="007615A3" w:rsidRDefault="007615A3" w:rsidP="007615A3">
      <w:pPr>
        <w:pStyle w:val="Body"/>
      </w:pPr>
      <w:r w:rsidRPr="007615A3">
        <w:t>For administration simplicity, the four blended funds used in the previous strategy have been retained, but underlying</w:t>
      </w:r>
      <w:r>
        <w:t xml:space="preserve"> </w:t>
      </w:r>
      <w:r w:rsidRPr="007615A3">
        <w:t>these four blends are two "interim funds" (called "Interim Growth Fund" and "Interim Consolidation Fund".</w:t>
      </w:r>
    </w:p>
    <w:p w:rsidR="007615A3" w:rsidRPr="007615A3" w:rsidRDefault="007615A3" w:rsidP="007615A3">
      <w:pPr>
        <w:pStyle w:val="Body"/>
        <w:rPr>
          <w:sz w:val="28"/>
          <w:szCs w:val="28"/>
        </w:rPr>
      </w:pPr>
      <w:r w:rsidRPr="007615A3">
        <w:rPr>
          <w:sz w:val="28"/>
          <w:szCs w:val="28"/>
        </w:rPr>
        <w:t>Lifestyle Arrangement</w:t>
      </w:r>
    </w:p>
    <w:p w:rsidR="007615A3" w:rsidRPr="007615A3" w:rsidRDefault="007615A3" w:rsidP="007615A3">
      <w:pPr>
        <w:pStyle w:val="Body"/>
      </w:pPr>
      <w:r w:rsidRPr="007615A3">
        <w:t>The Lifestyle arrangement will be the default where a member does not make a specific investment choice. The</w:t>
      </w:r>
      <w:r>
        <w:t xml:space="preserve"> </w:t>
      </w:r>
      <w:r w:rsidRPr="007615A3">
        <w:t>Lifestyle phases a member's funds through four Blended Funds as retirement approaches:</w:t>
      </w:r>
    </w:p>
    <w:p w:rsidR="007615A3" w:rsidRPr="007615A3" w:rsidRDefault="007615A3" w:rsidP="007615A3">
      <w:pPr>
        <w:pStyle w:val="Body"/>
      </w:pPr>
      <w:r w:rsidRPr="007615A3">
        <w:t>CalaChem Managed Long Term Growth / Higher Risk Fund (underlying: Interim Growth Fund)</w:t>
      </w:r>
    </w:p>
    <w:p w:rsidR="007615A3" w:rsidRPr="007615A3" w:rsidRDefault="007615A3" w:rsidP="007615A3">
      <w:pPr>
        <w:pStyle w:val="Body"/>
      </w:pPr>
      <w:r w:rsidRPr="007615A3">
        <w:t>CalaChem Managed Stable Growth / Balanced Risk Fund (underlying: Interim Growth Fund)</w:t>
      </w:r>
    </w:p>
    <w:p w:rsidR="007615A3" w:rsidRPr="007615A3" w:rsidRDefault="007615A3" w:rsidP="007615A3">
      <w:pPr>
        <w:pStyle w:val="Body"/>
      </w:pPr>
      <w:r w:rsidRPr="007615A3">
        <w:t>CalaChem Managed Cautious Growth / Lower Risk Fund (underlying: Interim Consolidation Fund)</w:t>
      </w:r>
    </w:p>
    <w:p w:rsidR="007615A3" w:rsidRPr="007615A3" w:rsidRDefault="007615A3" w:rsidP="007615A3">
      <w:pPr>
        <w:pStyle w:val="Body"/>
      </w:pPr>
      <w:r w:rsidRPr="007615A3">
        <w:t>CalaChem Retirement Protection Fund (underlying: Interim Consolidation Fund)</w:t>
      </w:r>
    </w:p>
    <w:p w:rsidR="007615A3" w:rsidRDefault="007615A3" w:rsidP="007615A3">
      <w:pPr>
        <w:pStyle w:val="Body"/>
      </w:pPr>
      <w:r w:rsidRPr="007615A3">
        <w:t>This is shown in the chart below. A more detailed breakdown of the phasing a member might experience over the four</w:t>
      </w:r>
      <w:r>
        <w:t xml:space="preserve"> </w:t>
      </w:r>
      <w:r w:rsidRPr="007615A3">
        <w:t xml:space="preserve">Blended Funds is shown in </w:t>
      </w:r>
      <w:r w:rsidRPr="007615A3">
        <w:rPr>
          <w:b/>
        </w:rPr>
        <w:t>Appendix C</w:t>
      </w:r>
      <w:r w:rsidRPr="007615A3">
        <w:t>.</w:t>
      </w:r>
    </w:p>
    <w:p w:rsidR="007615A3" w:rsidRDefault="007615A3" w:rsidP="007615A3">
      <w:pPr>
        <w:pStyle w:val="Body"/>
      </w:pPr>
    </w:p>
    <w:p w:rsidR="00542443" w:rsidRPr="007615A3" w:rsidRDefault="007615A3" w:rsidP="007615A3">
      <w:pPr>
        <w:pStyle w:val="Body"/>
      </w:pPr>
      <w:r>
        <w:rPr>
          <w:noProof/>
        </w:rPr>
        <w:lastRenderedPageBreak/>
        <w:drawing>
          <wp:inline distT="0" distB="0" distL="0" distR="0" wp14:anchorId="158FCD45" wp14:editId="48C28EB5">
            <wp:extent cx="5943600" cy="284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847340"/>
                    </a:xfrm>
                    <a:prstGeom prst="rect">
                      <a:avLst/>
                    </a:prstGeom>
                  </pic:spPr>
                </pic:pic>
              </a:graphicData>
            </a:graphic>
          </wp:inline>
        </w:drawing>
      </w:r>
    </w:p>
    <w:p w:rsidR="00542443" w:rsidRDefault="00C72269" w:rsidP="007615A3">
      <w:pPr>
        <w:pStyle w:val="Body"/>
        <w:rPr>
          <w:b/>
          <w:sz w:val="32"/>
          <w:szCs w:val="32"/>
        </w:rPr>
      </w:pPr>
      <w:r w:rsidRPr="00C72269">
        <w:rPr>
          <w:b/>
          <w:sz w:val="32"/>
          <w:szCs w:val="32"/>
        </w:rPr>
        <w:t>Underlying Funds in the Lifestyle Arrangement</w:t>
      </w:r>
    </w:p>
    <w:p w:rsidR="00542443" w:rsidRDefault="00C13A3C" w:rsidP="00C72269">
      <w:pPr>
        <w:pStyle w:val="Body"/>
      </w:pPr>
      <w:r w:rsidRPr="00C72269">
        <w:t>The individual funds currently underlying the blended funds in the Lifestyle arrangement as at 31 March 2019 are set out in the following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4300"/>
        <w:gridCol w:w="1236"/>
        <w:gridCol w:w="1104"/>
        <w:gridCol w:w="1197"/>
      </w:tblGrid>
      <w:tr w:rsidR="00C72269" w:rsidRPr="00C72269" w:rsidTr="00B5663A">
        <w:trPr>
          <w:cantSplit/>
        </w:trPr>
        <w:tc>
          <w:tcPr>
            <w:tcW w:w="2093" w:type="dxa"/>
            <w:shd w:val="clear" w:color="auto" w:fill="A6A6A6" w:themeFill="background1" w:themeFillShade="A6"/>
            <w:vAlign w:val="center"/>
          </w:tcPr>
          <w:p w:rsidR="00C72269" w:rsidRPr="00C72269" w:rsidRDefault="00C72269" w:rsidP="00C72269">
            <w:pPr>
              <w:pStyle w:val="Body"/>
              <w:spacing w:before="240"/>
              <w:jc w:val="center"/>
              <w:rPr>
                <w:b/>
                <w:color w:val="FFFFFF" w:themeColor="background1"/>
              </w:rPr>
            </w:pPr>
            <w:r w:rsidRPr="00C72269">
              <w:rPr>
                <w:b/>
                <w:color w:val="FFFFFF" w:themeColor="background1"/>
              </w:rPr>
              <w:t>Blended Fund</w:t>
            </w:r>
          </w:p>
        </w:tc>
        <w:tc>
          <w:tcPr>
            <w:tcW w:w="4678" w:type="dxa"/>
            <w:shd w:val="clear" w:color="auto" w:fill="A6A6A6" w:themeFill="background1" w:themeFillShade="A6"/>
            <w:vAlign w:val="center"/>
          </w:tcPr>
          <w:p w:rsidR="00C72269" w:rsidRPr="00C72269" w:rsidRDefault="00C72269" w:rsidP="00C72269">
            <w:pPr>
              <w:pStyle w:val="Body"/>
              <w:spacing w:before="240"/>
              <w:jc w:val="center"/>
              <w:rPr>
                <w:b/>
                <w:color w:val="FFFFFF" w:themeColor="background1"/>
              </w:rPr>
            </w:pPr>
            <w:r w:rsidRPr="00C72269">
              <w:rPr>
                <w:b/>
                <w:color w:val="FFFFFF" w:themeColor="background1"/>
              </w:rPr>
              <w:t>Underlying Funds</w:t>
            </w:r>
          </w:p>
        </w:tc>
        <w:tc>
          <w:tcPr>
            <w:tcW w:w="1275" w:type="dxa"/>
            <w:shd w:val="clear" w:color="auto" w:fill="A6A6A6" w:themeFill="background1" w:themeFillShade="A6"/>
            <w:vAlign w:val="center"/>
          </w:tcPr>
          <w:p w:rsidR="00C72269" w:rsidRPr="00C72269" w:rsidRDefault="00C72269" w:rsidP="00C72269">
            <w:pPr>
              <w:pStyle w:val="Body"/>
              <w:spacing w:before="240"/>
              <w:jc w:val="center"/>
              <w:rPr>
                <w:b/>
                <w:color w:val="FFFFFF" w:themeColor="background1"/>
              </w:rPr>
            </w:pPr>
            <w:r w:rsidRPr="00C72269">
              <w:rPr>
                <w:b/>
                <w:color w:val="FFFFFF" w:themeColor="background1"/>
              </w:rPr>
              <w:t>AMC</w:t>
            </w:r>
            <w:r w:rsidRPr="00C72269">
              <w:rPr>
                <w:rStyle w:val="FootnoteReference"/>
                <w:b/>
                <w:color w:val="FFFFFF" w:themeColor="background1"/>
              </w:rPr>
              <w:footnoteReference w:id="1"/>
            </w:r>
            <w:r w:rsidRPr="00C72269">
              <w:rPr>
                <w:b/>
                <w:color w:val="FFFFFF" w:themeColor="background1"/>
              </w:rPr>
              <w:t>%</w:t>
            </w:r>
          </w:p>
        </w:tc>
        <w:tc>
          <w:tcPr>
            <w:tcW w:w="1134" w:type="dxa"/>
            <w:shd w:val="clear" w:color="auto" w:fill="A6A6A6" w:themeFill="background1" w:themeFillShade="A6"/>
            <w:vAlign w:val="center"/>
          </w:tcPr>
          <w:p w:rsidR="00C72269" w:rsidRPr="00C72269" w:rsidRDefault="00C72269" w:rsidP="00C72269">
            <w:pPr>
              <w:pStyle w:val="Body"/>
              <w:spacing w:before="240"/>
              <w:jc w:val="center"/>
              <w:rPr>
                <w:b/>
                <w:color w:val="FFFFFF" w:themeColor="background1"/>
              </w:rPr>
            </w:pPr>
            <w:r w:rsidRPr="00C72269">
              <w:rPr>
                <w:b/>
                <w:color w:val="FFFFFF" w:themeColor="background1"/>
              </w:rPr>
              <w:t>TER</w:t>
            </w:r>
            <w:r w:rsidRPr="00C72269">
              <w:rPr>
                <w:rStyle w:val="FootnoteReference"/>
                <w:b/>
                <w:color w:val="FFFFFF" w:themeColor="background1"/>
              </w:rPr>
              <w:footnoteReference w:id="2"/>
            </w:r>
            <w:r w:rsidRPr="00C72269">
              <w:rPr>
                <w:b/>
                <w:color w:val="FFFFFF" w:themeColor="background1"/>
              </w:rPr>
              <w:t>%</w:t>
            </w:r>
          </w:p>
        </w:tc>
        <w:tc>
          <w:tcPr>
            <w:tcW w:w="1226" w:type="dxa"/>
            <w:shd w:val="clear" w:color="auto" w:fill="A6A6A6" w:themeFill="background1" w:themeFillShade="A6"/>
            <w:vAlign w:val="center"/>
          </w:tcPr>
          <w:p w:rsidR="00C72269" w:rsidRPr="00C72269" w:rsidRDefault="00C72269" w:rsidP="00C72269">
            <w:pPr>
              <w:pStyle w:val="Body"/>
              <w:spacing w:before="240"/>
              <w:jc w:val="center"/>
              <w:rPr>
                <w:b/>
                <w:color w:val="FFFFFF" w:themeColor="background1"/>
              </w:rPr>
            </w:pPr>
            <w:r w:rsidRPr="00C72269">
              <w:rPr>
                <w:b/>
                <w:color w:val="FFFFFF" w:themeColor="background1"/>
              </w:rPr>
              <w:t>Active/</w:t>
            </w:r>
            <w:r w:rsidR="009C7E43">
              <w:rPr>
                <w:b/>
                <w:color w:val="FFFFFF" w:themeColor="background1"/>
              </w:rPr>
              <w:t xml:space="preserve"> </w:t>
            </w:r>
            <w:r w:rsidRPr="00C72269">
              <w:rPr>
                <w:b/>
                <w:color w:val="FFFFFF" w:themeColor="background1"/>
              </w:rPr>
              <w:t>Passive</w:t>
            </w:r>
          </w:p>
        </w:tc>
      </w:tr>
      <w:tr w:rsidR="00C72269" w:rsidTr="00B5663A">
        <w:trPr>
          <w:cantSplit/>
        </w:trPr>
        <w:tc>
          <w:tcPr>
            <w:tcW w:w="2093" w:type="dxa"/>
            <w:vAlign w:val="center"/>
          </w:tcPr>
          <w:p w:rsidR="00C72269" w:rsidRDefault="009C7E43" w:rsidP="009C7E43">
            <w:pPr>
              <w:pStyle w:val="Body"/>
            </w:pPr>
            <w:r>
              <w:t>Interim Growth Fund</w:t>
            </w:r>
          </w:p>
        </w:tc>
        <w:tc>
          <w:tcPr>
            <w:tcW w:w="4678" w:type="dxa"/>
            <w:vAlign w:val="center"/>
          </w:tcPr>
          <w:p w:rsidR="009C7E43" w:rsidRDefault="009C7E43" w:rsidP="009C7E43">
            <w:pPr>
              <w:pStyle w:val="Body"/>
              <w:spacing w:before="120" w:after="0"/>
              <w:jc w:val="center"/>
            </w:pPr>
            <w:r>
              <w:t>30%: BlackRock Aquila Connect UK Equity</w:t>
            </w:r>
          </w:p>
          <w:p w:rsidR="009C7E43" w:rsidRDefault="009C7E43" w:rsidP="009C7E43">
            <w:pPr>
              <w:pStyle w:val="Body"/>
              <w:spacing w:after="0"/>
              <w:jc w:val="center"/>
            </w:pPr>
            <w:r>
              <w:t>18.5%: L&amp;G World (ex UK) Equity Index</w:t>
            </w:r>
          </w:p>
          <w:p w:rsidR="009C7E43" w:rsidRDefault="009C7E43" w:rsidP="009C7E43">
            <w:pPr>
              <w:pStyle w:val="Body"/>
              <w:spacing w:after="0"/>
              <w:jc w:val="center"/>
            </w:pPr>
            <w:r>
              <w:t>18.5%: L&amp;G World (ex UK) Equity Index- GBP Hedged</w:t>
            </w:r>
          </w:p>
          <w:p w:rsidR="009C7E43" w:rsidRDefault="009C7E43" w:rsidP="009C7E43">
            <w:pPr>
              <w:pStyle w:val="Body"/>
              <w:spacing w:after="0"/>
              <w:jc w:val="center"/>
            </w:pPr>
            <w:r>
              <w:t>6.0%: BlackRock Aquila Connect Over 15 Year Corporate Bond</w:t>
            </w:r>
          </w:p>
          <w:p w:rsidR="009C7E43" w:rsidRDefault="009C7E43" w:rsidP="009C7E43">
            <w:pPr>
              <w:pStyle w:val="Body"/>
              <w:spacing w:after="0"/>
              <w:jc w:val="center"/>
            </w:pPr>
            <w:r>
              <w:t>20.0%: L&amp;G 5-15 Year Gilts Index</w:t>
            </w:r>
          </w:p>
          <w:p w:rsidR="00C72269" w:rsidRDefault="009C7E43" w:rsidP="009C7E43">
            <w:pPr>
              <w:pStyle w:val="Body"/>
              <w:jc w:val="center"/>
            </w:pPr>
            <w:r>
              <w:t>7.0%: L&amp;G All Stocks IL Gilts Index</w:t>
            </w:r>
          </w:p>
        </w:tc>
        <w:tc>
          <w:tcPr>
            <w:tcW w:w="1275" w:type="dxa"/>
            <w:vAlign w:val="center"/>
          </w:tcPr>
          <w:p w:rsidR="00C72269" w:rsidRDefault="009C7E43" w:rsidP="009C7E43">
            <w:pPr>
              <w:pStyle w:val="Body"/>
              <w:jc w:val="center"/>
            </w:pPr>
            <w:r>
              <w:t>0.075</w:t>
            </w:r>
          </w:p>
        </w:tc>
        <w:tc>
          <w:tcPr>
            <w:tcW w:w="1134" w:type="dxa"/>
            <w:vAlign w:val="center"/>
          </w:tcPr>
          <w:p w:rsidR="00C72269" w:rsidRDefault="009C7E43" w:rsidP="009C7E43">
            <w:pPr>
              <w:pStyle w:val="Body"/>
              <w:jc w:val="center"/>
            </w:pPr>
            <w:r>
              <w:t>0.126</w:t>
            </w:r>
          </w:p>
        </w:tc>
        <w:tc>
          <w:tcPr>
            <w:tcW w:w="1226" w:type="dxa"/>
            <w:vAlign w:val="center"/>
          </w:tcPr>
          <w:p w:rsidR="00C72269" w:rsidRDefault="009C7E43" w:rsidP="009C7E43">
            <w:pPr>
              <w:pStyle w:val="Body"/>
              <w:jc w:val="center"/>
            </w:pPr>
            <w:r>
              <w:t>Passive</w:t>
            </w:r>
          </w:p>
        </w:tc>
      </w:tr>
      <w:tr w:rsidR="00C72269" w:rsidTr="00B5663A">
        <w:trPr>
          <w:cantSplit/>
        </w:trPr>
        <w:tc>
          <w:tcPr>
            <w:tcW w:w="2093" w:type="dxa"/>
            <w:vAlign w:val="center"/>
          </w:tcPr>
          <w:p w:rsidR="00C72269" w:rsidRDefault="009C7E43" w:rsidP="009C7E43">
            <w:pPr>
              <w:pStyle w:val="Body"/>
            </w:pPr>
            <w:r>
              <w:lastRenderedPageBreak/>
              <w:t>Interim Consolidation Fund</w:t>
            </w:r>
          </w:p>
        </w:tc>
        <w:tc>
          <w:tcPr>
            <w:tcW w:w="4678" w:type="dxa"/>
            <w:vAlign w:val="center"/>
          </w:tcPr>
          <w:p w:rsidR="009C7E43" w:rsidRDefault="009C7E43" w:rsidP="009C7E43">
            <w:pPr>
              <w:pStyle w:val="Body"/>
              <w:spacing w:before="120" w:after="0"/>
              <w:jc w:val="center"/>
            </w:pPr>
            <w:r>
              <w:t>6.0%: BlackRock Aquila Connect UK Equity</w:t>
            </w:r>
          </w:p>
          <w:p w:rsidR="009C7E43" w:rsidRDefault="009C7E43" w:rsidP="009C7E43">
            <w:pPr>
              <w:pStyle w:val="Body"/>
              <w:spacing w:after="0"/>
              <w:jc w:val="center"/>
            </w:pPr>
            <w:r>
              <w:t>7.0%: L&amp;G World (ex UK) Equity Index</w:t>
            </w:r>
          </w:p>
          <w:p w:rsidR="009C7E43" w:rsidRDefault="009C7E43" w:rsidP="009C7E43">
            <w:pPr>
              <w:pStyle w:val="Body"/>
              <w:spacing w:after="0"/>
              <w:jc w:val="center"/>
            </w:pPr>
            <w:r>
              <w:t>7.0%: L&amp;G World (ex UK) Equity Index- GBP Hedged</w:t>
            </w:r>
          </w:p>
          <w:p w:rsidR="009C7E43" w:rsidRDefault="009C7E43" w:rsidP="009C7E43">
            <w:pPr>
              <w:pStyle w:val="Body"/>
              <w:spacing w:after="0"/>
              <w:jc w:val="center"/>
            </w:pPr>
            <w:r>
              <w:t>30.0%: BlackRock Aquila Connect Over 15 Year Corporate Bond</w:t>
            </w:r>
          </w:p>
          <w:p w:rsidR="009C7E43" w:rsidRDefault="009C7E43" w:rsidP="009C7E43">
            <w:pPr>
              <w:pStyle w:val="Body"/>
              <w:spacing w:after="0"/>
              <w:jc w:val="center"/>
            </w:pPr>
            <w:r>
              <w:t>38.0%: L&amp;G 5-15 Year Gilts Index</w:t>
            </w:r>
          </w:p>
          <w:p w:rsidR="00C72269" w:rsidRDefault="009C7E43" w:rsidP="009C7E43">
            <w:pPr>
              <w:pStyle w:val="Body"/>
              <w:jc w:val="center"/>
            </w:pPr>
            <w:r>
              <w:t>12.0%: L&amp;G All Stocks IL Gilts Index</w:t>
            </w:r>
          </w:p>
        </w:tc>
        <w:tc>
          <w:tcPr>
            <w:tcW w:w="1275" w:type="dxa"/>
            <w:vAlign w:val="center"/>
          </w:tcPr>
          <w:p w:rsidR="00C72269" w:rsidRDefault="009C7E43" w:rsidP="009C7E43">
            <w:pPr>
              <w:pStyle w:val="Body"/>
              <w:jc w:val="center"/>
            </w:pPr>
            <w:r>
              <w:t>0.075</w:t>
            </w:r>
          </w:p>
        </w:tc>
        <w:tc>
          <w:tcPr>
            <w:tcW w:w="1134" w:type="dxa"/>
            <w:vAlign w:val="center"/>
          </w:tcPr>
          <w:p w:rsidR="00C72269" w:rsidRDefault="009C7E43" w:rsidP="009C7E43">
            <w:pPr>
              <w:pStyle w:val="Body"/>
              <w:jc w:val="center"/>
            </w:pPr>
            <w:r>
              <w:t>0.117</w:t>
            </w:r>
          </w:p>
        </w:tc>
        <w:tc>
          <w:tcPr>
            <w:tcW w:w="1226" w:type="dxa"/>
            <w:vAlign w:val="center"/>
          </w:tcPr>
          <w:p w:rsidR="00C72269" w:rsidRDefault="009C7E43" w:rsidP="009C7E43">
            <w:pPr>
              <w:pStyle w:val="Body"/>
              <w:jc w:val="center"/>
            </w:pPr>
            <w:r>
              <w:t>Passive</w:t>
            </w:r>
          </w:p>
        </w:tc>
      </w:tr>
    </w:tbl>
    <w:p w:rsidR="00540102" w:rsidRDefault="00540102" w:rsidP="00540102">
      <w:pPr>
        <w:pStyle w:val="Body"/>
      </w:pPr>
    </w:p>
    <w:p w:rsidR="00542443" w:rsidRDefault="00C13A3C" w:rsidP="00540102">
      <w:pPr>
        <w:pStyle w:val="Body"/>
        <w:rPr>
          <w:sz w:val="28"/>
          <w:szCs w:val="28"/>
        </w:rPr>
      </w:pPr>
      <w:bookmarkStart w:id="62" w:name="bookmark41"/>
      <w:r w:rsidRPr="00540102">
        <w:rPr>
          <w:sz w:val="28"/>
          <w:szCs w:val="28"/>
        </w:rPr>
        <w:t>Self-Select Options</w:t>
      </w:r>
      <w:bookmarkEnd w:id="62"/>
    </w:p>
    <w:p w:rsidR="00540102" w:rsidRDefault="00540102" w:rsidP="00540102">
      <w:pPr>
        <w:pStyle w:val="Body"/>
      </w:pPr>
      <w:r>
        <w:t xml:space="preserve">The Self-Select options allow members to choose from a selection of Blended Funds and individual asset class funds based on their own attitude to risk, term to retirement and investment objective. </w:t>
      </w:r>
    </w:p>
    <w:p w:rsidR="00540102" w:rsidRDefault="00540102" w:rsidP="00540102">
      <w:pPr>
        <w:pStyle w:val="Body"/>
      </w:pPr>
      <w:r w:rsidRPr="00540102">
        <w:t>The Trustees may vary the underlying asset allocation and investment managers within the funds from time to time in response to changing market condi</w:t>
      </w:r>
      <w:r w:rsidR="00503D15">
        <w:t>tions and manager developments.</w:t>
      </w:r>
    </w:p>
    <w:p w:rsidR="00540102" w:rsidRDefault="00540102" w:rsidP="00540102">
      <w:pPr>
        <w:pStyle w:val="Body"/>
      </w:pPr>
      <w:r w:rsidRPr="00540102">
        <w:t>The individual funds underlying the Self-Select funds as at 31 March 2019 are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4326"/>
        <w:gridCol w:w="1237"/>
        <w:gridCol w:w="1105"/>
        <w:gridCol w:w="1197"/>
      </w:tblGrid>
      <w:tr w:rsidR="00821397" w:rsidRPr="00C72269" w:rsidTr="00B5663A">
        <w:trPr>
          <w:cantSplit/>
        </w:trPr>
        <w:tc>
          <w:tcPr>
            <w:tcW w:w="1992" w:type="dxa"/>
            <w:shd w:val="clear" w:color="auto" w:fill="A6A6A6" w:themeFill="background1" w:themeFillShade="A6"/>
            <w:vAlign w:val="center"/>
          </w:tcPr>
          <w:p w:rsidR="00503D15" w:rsidRPr="00C72269" w:rsidRDefault="00503D15" w:rsidP="00406560">
            <w:pPr>
              <w:pStyle w:val="Body"/>
              <w:spacing w:before="240"/>
              <w:jc w:val="center"/>
              <w:rPr>
                <w:b/>
                <w:color w:val="FFFFFF" w:themeColor="background1"/>
              </w:rPr>
            </w:pPr>
            <w:r>
              <w:rPr>
                <w:b/>
                <w:color w:val="FFFFFF" w:themeColor="background1"/>
              </w:rPr>
              <w:t>Self-Select Option</w:t>
            </w:r>
          </w:p>
        </w:tc>
        <w:tc>
          <w:tcPr>
            <w:tcW w:w="4326" w:type="dxa"/>
            <w:shd w:val="clear" w:color="auto" w:fill="A6A6A6" w:themeFill="background1" w:themeFillShade="A6"/>
            <w:vAlign w:val="center"/>
          </w:tcPr>
          <w:p w:rsidR="00503D15" w:rsidRPr="00C72269" w:rsidRDefault="00503D15" w:rsidP="00406560">
            <w:pPr>
              <w:pStyle w:val="Body"/>
              <w:spacing w:before="240"/>
              <w:jc w:val="center"/>
              <w:rPr>
                <w:b/>
                <w:color w:val="FFFFFF" w:themeColor="background1"/>
              </w:rPr>
            </w:pPr>
            <w:r w:rsidRPr="00C72269">
              <w:rPr>
                <w:b/>
                <w:color w:val="FFFFFF" w:themeColor="background1"/>
              </w:rPr>
              <w:t>Underlying Funds</w:t>
            </w:r>
          </w:p>
        </w:tc>
        <w:tc>
          <w:tcPr>
            <w:tcW w:w="1237" w:type="dxa"/>
            <w:shd w:val="clear" w:color="auto" w:fill="A6A6A6" w:themeFill="background1" w:themeFillShade="A6"/>
            <w:vAlign w:val="center"/>
          </w:tcPr>
          <w:p w:rsidR="00503D15" w:rsidRPr="00C72269" w:rsidRDefault="00503D15" w:rsidP="00503D15">
            <w:pPr>
              <w:pStyle w:val="Body"/>
              <w:spacing w:before="240"/>
              <w:jc w:val="center"/>
              <w:rPr>
                <w:b/>
                <w:color w:val="FFFFFF" w:themeColor="background1"/>
              </w:rPr>
            </w:pPr>
            <w:r w:rsidRPr="00C72269">
              <w:rPr>
                <w:b/>
                <w:color w:val="FFFFFF" w:themeColor="background1"/>
              </w:rPr>
              <w:t>AMC</w:t>
            </w:r>
            <w:r w:rsidRPr="00C72269">
              <w:rPr>
                <w:rStyle w:val="FootnoteReference"/>
                <w:b/>
                <w:color w:val="FFFFFF" w:themeColor="background1"/>
              </w:rPr>
              <w:footnoteReference w:id="3"/>
            </w:r>
            <w:r w:rsidRPr="00C72269">
              <w:rPr>
                <w:b/>
                <w:color w:val="FFFFFF" w:themeColor="background1"/>
              </w:rPr>
              <w:t>%</w:t>
            </w:r>
          </w:p>
        </w:tc>
        <w:tc>
          <w:tcPr>
            <w:tcW w:w="1105" w:type="dxa"/>
            <w:shd w:val="clear" w:color="auto" w:fill="A6A6A6" w:themeFill="background1" w:themeFillShade="A6"/>
            <w:vAlign w:val="center"/>
          </w:tcPr>
          <w:p w:rsidR="00503D15" w:rsidRPr="00C72269" w:rsidRDefault="00503D15" w:rsidP="00406560">
            <w:pPr>
              <w:pStyle w:val="Body"/>
              <w:spacing w:before="240"/>
              <w:jc w:val="center"/>
              <w:rPr>
                <w:b/>
                <w:color w:val="FFFFFF" w:themeColor="background1"/>
              </w:rPr>
            </w:pPr>
            <w:r w:rsidRPr="00C72269">
              <w:rPr>
                <w:b/>
                <w:color w:val="FFFFFF" w:themeColor="background1"/>
              </w:rPr>
              <w:t>TER</w:t>
            </w:r>
            <w:r w:rsidRPr="00C72269">
              <w:rPr>
                <w:rStyle w:val="FootnoteReference"/>
                <w:b/>
                <w:color w:val="FFFFFF" w:themeColor="background1"/>
              </w:rPr>
              <w:footnoteReference w:id="4"/>
            </w:r>
            <w:r w:rsidRPr="00C72269">
              <w:rPr>
                <w:b/>
                <w:color w:val="FFFFFF" w:themeColor="background1"/>
              </w:rPr>
              <w:t>%</w:t>
            </w:r>
          </w:p>
        </w:tc>
        <w:tc>
          <w:tcPr>
            <w:tcW w:w="1197" w:type="dxa"/>
            <w:shd w:val="clear" w:color="auto" w:fill="A6A6A6" w:themeFill="background1" w:themeFillShade="A6"/>
            <w:vAlign w:val="center"/>
          </w:tcPr>
          <w:p w:rsidR="00503D15" w:rsidRPr="00C72269" w:rsidRDefault="00503D15" w:rsidP="00406560">
            <w:pPr>
              <w:pStyle w:val="Body"/>
              <w:spacing w:before="240"/>
              <w:jc w:val="center"/>
              <w:rPr>
                <w:b/>
                <w:color w:val="FFFFFF" w:themeColor="background1"/>
              </w:rPr>
            </w:pPr>
            <w:r w:rsidRPr="00C72269">
              <w:rPr>
                <w:b/>
                <w:color w:val="FFFFFF" w:themeColor="background1"/>
              </w:rPr>
              <w:t>Active/</w:t>
            </w:r>
            <w:r>
              <w:rPr>
                <w:b/>
                <w:color w:val="FFFFFF" w:themeColor="background1"/>
              </w:rPr>
              <w:t xml:space="preserve"> </w:t>
            </w:r>
            <w:r w:rsidRPr="00C72269">
              <w:rPr>
                <w:b/>
                <w:color w:val="FFFFFF" w:themeColor="background1"/>
              </w:rPr>
              <w:t>Passive</w:t>
            </w:r>
          </w:p>
        </w:tc>
      </w:tr>
      <w:tr w:rsidR="00821397" w:rsidTr="00B5663A">
        <w:trPr>
          <w:cantSplit/>
        </w:trPr>
        <w:tc>
          <w:tcPr>
            <w:tcW w:w="1992" w:type="dxa"/>
            <w:vAlign w:val="center"/>
          </w:tcPr>
          <w:p w:rsidR="00503D15" w:rsidRDefault="00503D15" w:rsidP="00821397">
            <w:pPr>
              <w:pStyle w:val="Body"/>
              <w:spacing w:before="120"/>
              <w:jc w:val="center"/>
            </w:pPr>
            <w:r>
              <w:t>CalaChem Managed Long Term Growth/ Higher Risk Fund</w:t>
            </w:r>
          </w:p>
        </w:tc>
        <w:tc>
          <w:tcPr>
            <w:tcW w:w="4326" w:type="dxa"/>
            <w:vAlign w:val="center"/>
          </w:tcPr>
          <w:p w:rsidR="00503D15" w:rsidRDefault="00821397" w:rsidP="00821397">
            <w:pPr>
              <w:pStyle w:val="Body"/>
              <w:jc w:val="center"/>
            </w:pPr>
            <w:r>
              <w:t>As per "Interim Growth Fund" above</w:t>
            </w:r>
          </w:p>
        </w:tc>
        <w:tc>
          <w:tcPr>
            <w:tcW w:w="1237" w:type="dxa"/>
            <w:vAlign w:val="center"/>
          </w:tcPr>
          <w:p w:rsidR="00503D15" w:rsidRDefault="00503D15" w:rsidP="00406560">
            <w:pPr>
              <w:pStyle w:val="Body"/>
              <w:jc w:val="center"/>
            </w:pPr>
            <w:r>
              <w:t>0.075</w:t>
            </w:r>
          </w:p>
        </w:tc>
        <w:tc>
          <w:tcPr>
            <w:tcW w:w="1105" w:type="dxa"/>
            <w:vAlign w:val="center"/>
          </w:tcPr>
          <w:p w:rsidR="00503D15" w:rsidRDefault="00503D15" w:rsidP="00406560">
            <w:pPr>
              <w:pStyle w:val="Body"/>
              <w:jc w:val="center"/>
            </w:pPr>
            <w:r>
              <w:t>0.126</w:t>
            </w:r>
          </w:p>
        </w:tc>
        <w:tc>
          <w:tcPr>
            <w:tcW w:w="1197" w:type="dxa"/>
            <w:vAlign w:val="center"/>
          </w:tcPr>
          <w:p w:rsidR="00503D15" w:rsidRDefault="00503D15" w:rsidP="00406560">
            <w:pPr>
              <w:pStyle w:val="Body"/>
              <w:jc w:val="center"/>
            </w:pPr>
            <w:r>
              <w:t>Passive</w:t>
            </w:r>
          </w:p>
        </w:tc>
      </w:tr>
      <w:tr w:rsidR="00821397" w:rsidTr="00B5663A">
        <w:trPr>
          <w:cantSplit/>
        </w:trPr>
        <w:tc>
          <w:tcPr>
            <w:tcW w:w="1992" w:type="dxa"/>
            <w:vAlign w:val="center"/>
          </w:tcPr>
          <w:p w:rsidR="00503D15" w:rsidRDefault="00821397" w:rsidP="00821397">
            <w:pPr>
              <w:pStyle w:val="Body"/>
              <w:spacing w:before="120"/>
              <w:jc w:val="center"/>
            </w:pPr>
            <w:r>
              <w:t>CalaChem Managed Stable Growth/ Balanced Risk Fund</w:t>
            </w:r>
          </w:p>
        </w:tc>
        <w:tc>
          <w:tcPr>
            <w:tcW w:w="4326" w:type="dxa"/>
            <w:vAlign w:val="center"/>
          </w:tcPr>
          <w:p w:rsidR="00503D15" w:rsidRDefault="00821397" w:rsidP="00406560">
            <w:pPr>
              <w:pStyle w:val="Body"/>
              <w:jc w:val="center"/>
            </w:pPr>
            <w:r>
              <w:t>As per "Interim Growth Fund" above</w:t>
            </w:r>
          </w:p>
        </w:tc>
        <w:tc>
          <w:tcPr>
            <w:tcW w:w="1237" w:type="dxa"/>
            <w:vAlign w:val="center"/>
          </w:tcPr>
          <w:p w:rsidR="00503D15" w:rsidRDefault="00503D15" w:rsidP="00406560">
            <w:pPr>
              <w:pStyle w:val="Body"/>
              <w:jc w:val="center"/>
            </w:pPr>
            <w:r>
              <w:t>0.075</w:t>
            </w:r>
          </w:p>
        </w:tc>
        <w:tc>
          <w:tcPr>
            <w:tcW w:w="1105" w:type="dxa"/>
            <w:vAlign w:val="center"/>
          </w:tcPr>
          <w:p w:rsidR="00503D15" w:rsidRDefault="00503D15" w:rsidP="00503D15">
            <w:pPr>
              <w:pStyle w:val="Body"/>
              <w:jc w:val="center"/>
            </w:pPr>
            <w:r>
              <w:t>0.126</w:t>
            </w:r>
          </w:p>
        </w:tc>
        <w:tc>
          <w:tcPr>
            <w:tcW w:w="1197" w:type="dxa"/>
            <w:vAlign w:val="center"/>
          </w:tcPr>
          <w:p w:rsidR="00503D15" w:rsidRDefault="00503D15" w:rsidP="00406560">
            <w:pPr>
              <w:pStyle w:val="Body"/>
              <w:jc w:val="center"/>
            </w:pPr>
            <w:r>
              <w:t>Passive</w:t>
            </w:r>
          </w:p>
        </w:tc>
      </w:tr>
      <w:tr w:rsidR="00821397" w:rsidTr="00B5663A">
        <w:trPr>
          <w:cantSplit/>
        </w:trPr>
        <w:tc>
          <w:tcPr>
            <w:tcW w:w="1992" w:type="dxa"/>
            <w:vAlign w:val="center"/>
          </w:tcPr>
          <w:p w:rsidR="00503D15" w:rsidRDefault="00821397" w:rsidP="00821397">
            <w:pPr>
              <w:pStyle w:val="Body"/>
              <w:spacing w:before="120"/>
              <w:jc w:val="center"/>
            </w:pPr>
            <w:r>
              <w:t>CalaChem Managed Cautious Growth/ Lower Risk Fund</w:t>
            </w:r>
          </w:p>
        </w:tc>
        <w:tc>
          <w:tcPr>
            <w:tcW w:w="4326" w:type="dxa"/>
            <w:vAlign w:val="center"/>
          </w:tcPr>
          <w:p w:rsidR="00503D15" w:rsidRDefault="00821397" w:rsidP="00821397">
            <w:pPr>
              <w:pStyle w:val="Body"/>
              <w:spacing w:before="120" w:after="0"/>
              <w:jc w:val="center"/>
            </w:pPr>
            <w:r>
              <w:t>As per "Interim Consolidation Fund" above</w:t>
            </w:r>
          </w:p>
        </w:tc>
        <w:tc>
          <w:tcPr>
            <w:tcW w:w="1237" w:type="dxa"/>
            <w:vAlign w:val="center"/>
          </w:tcPr>
          <w:p w:rsidR="00503D15" w:rsidRDefault="00503D15" w:rsidP="00503D15">
            <w:pPr>
              <w:pStyle w:val="Body"/>
              <w:jc w:val="center"/>
            </w:pPr>
            <w:r>
              <w:t>0.075</w:t>
            </w:r>
          </w:p>
        </w:tc>
        <w:tc>
          <w:tcPr>
            <w:tcW w:w="1105" w:type="dxa"/>
            <w:vAlign w:val="center"/>
          </w:tcPr>
          <w:p w:rsidR="00503D15" w:rsidRDefault="00503D15" w:rsidP="00503D15">
            <w:pPr>
              <w:pStyle w:val="Body"/>
              <w:jc w:val="center"/>
            </w:pPr>
            <w:r>
              <w:t>0.117</w:t>
            </w:r>
          </w:p>
        </w:tc>
        <w:tc>
          <w:tcPr>
            <w:tcW w:w="1197" w:type="dxa"/>
            <w:vAlign w:val="center"/>
          </w:tcPr>
          <w:p w:rsidR="00503D15" w:rsidRDefault="00503D15" w:rsidP="00503D15">
            <w:pPr>
              <w:pStyle w:val="Body"/>
              <w:jc w:val="center"/>
            </w:pPr>
            <w:r>
              <w:t>Passive</w:t>
            </w:r>
          </w:p>
        </w:tc>
      </w:tr>
      <w:tr w:rsidR="00821397" w:rsidTr="00B5663A">
        <w:trPr>
          <w:cantSplit/>
        </w:trPr>
        <w:tc>
          <w:tcPr>
            <w:tcW w:w="1992" w:type="dxa"/>
            <w:vAlign w:val="center"/>
          </w:tcPr>
          <w:p w:rsidR="00821397" w:rsidRDefault="00821397" w:rsidP="00821397">
            <w:pPr>
              <w:pStyle w:val="Body"/>
              <w:spacing w:before="120"/>
              <w:jc w:val="center"/>
            </w:pPr>
            <w:r>
              <w:lastRenderedPageBreak/>
              <w:t>CalaChem Annuity Protection Fund</w:t>
            </w:r>
          </w:p>
        </w:tc>
        <w:tc>
          <w:tcPr>
            <w:tcW w:w="4326" w:type="dxa"/>
            <w:vMerge w:val="restart"/>
            <w:vAlign w:val="center"/>
          </w:tcPr>
          <w:p w:rsidR="00821397" w:rsidRDefault="00821397" w:rsidP="00821397">
            <w:pPr>
              <w:pStyle w:val="Body"/>
              <w:spacing w:before="120" w:after="0"/>
              <w:jc w:val="center"/>
            </w:pPr>
            <w:r>
              <w:t>30.0%: BlackRock Aquila Connect Over 15 Year Corporate Bond</w:t>
            </w:r>
          </w:p>
          <w:p w:rsidR="00821397" w:rsidRDefault="00821397" w:rsidP="00821397">
            <w:pPr>
              <w:pStyle w:val="Body"/>
              <w:spacing w:before="120" w:after="0"/>
              <w:jc w:val="center"/>
            </w:pPr>
            <w:r>
              <w:t xml:space="preserve">70.0%: L&amp;G 5-15 Year Gilts Index </w:t>
            </w:r>
          </w:p>
          <w:p w:rsidR="00821397" w:rsidRDefault="00821397" w:rsidP="00821397">
            <w:pPr>
              <w:pStyle w:val="Body"/>
              <w:spacing w:before="120" w:after="0"/>
              <w:jc w:val="center"/>
            </w:pPr>
            <w:r>
              <w:t xml:space="preserve">50%: LGIM UK Equity Index </w:t>
            </w:r>
          </w:p>
          <w:p w:rsidR="00821397" w:rsidRDefault="00821397" w:rsidP="00821397">
            <w:pPr>
              <w:pStyle w:val="Body"/>
              <w:spacing w:before="120" w:after="0"/>
              <w:jc w:val="center"/>
            </w:pPr>
            <w:r>
              <w:t xml:space="preserve">17%: LGIM North America Equity Index </w:t>
            </w:r>
          </w:p>
          <w:p w:rsidR="00821397" w:rsidRDefault="00821397" w:rsidP="00821397">
            <w:pPr>
              <w:pStyle w:val="Body"/>
              <w:spacing w:before="120" w:after="0"/>
              <w:jc w:val="center"/>
            </w:pPr>
            <w:r>
              <w:t xml:space="preserve">17%: LGIM Europe (ex-UK) Equity Index </w:t>
            </w:r>
          </w:p>
          <w:p w:rsidR="00821397" w:rsidRDefault="00821397" w:rsidP="00821397">
            <w:pPr>
              <w:pStyle w:val="Body"/>
              <w:spacing w:before="120" w:after="0"/>
              <w:jc w:val="center"/>
            </w:pPr>
            <w:r>
              <w:t xml:space="preserve">9%: LGIM Japan Equity Index </w:t>
            </w:r>
          </w:p>
          <w:p w:rsidR="00821397" w:rsidRDefault="00821397" w:rsidP="00821397">
            <w:pPr>
              <w:pStyle w:val="Body"/>
              <w:spacing w:before="120" w:after="0"/>
              <w:jc w:val="center"/>
            </w:pPr>
            <w:r>
              <w:t xml:space="preserve">7%: LGIM Asia Pac ex Japan Developed Equity Index </w:t>
            </w:r>
          </w:p>
        </w:tc>
        <w:tc>
          <w:tcPr>
            <w:tcW w:w="1237" w:type="dxa"/>
            <w:vAlign w:val="center"/>
          </w:tcPr>
          <w:p w:rsidR="00821397" w:rsidRDefault="00821397" w:rsidP="00503D15">
            <w:pPr>
              <w:pStyle w:val="Body"/>
              <w:jc w:val="center"/>
            </w:pPr>
            <w:r>
              <w:t>0.075</w:t>
            </w:r>
          </w:p>
        </w:tc>
        <w:tc>
          <w:tcPr>
            <w:tcW w:w="1105" w:type="dxa"/>
            <w:vAlign w:val="center"/>
          </w:tcPr>
          <w:p w:rsidR="00821397" w:rsidRDefault="00821397" w:rsidP="00503D15">
            <w:pPr>
              <w:pStyle w:val="Body"/>
              <w:jc w:val="center"/>
            </w:pPr>
            <w:r>
              <w:t>0.110</w:t>
            </w:r>
          </w:p>
        </w:tc>
        <w:tc>
          <w:tcPr>
            <w:tcW w:w="1197" w:type="dxa"/>
            <w:vAlign w:val="center"/>
          </w:tcPr>
          <w:p w:rsidR="00821397" w:rsidRDefault="00821397" w:rsidP="00503D15">
            <w:pPr>
              <w:pStyle w:val="Body"/>
              <w:jc w:val="center"/>
            </w:pPr>
            <w:r>
              <w:t>Active</w:t>
            </w:r>
          </w:p>
        </w:tc>
      </w:tr>
      <w:tr w:rsidR="00821397" w:rsidTr="00B5663A">
        <w:trPr>
          <w:cantSplit/>
        </w:trPr>
        <w:tc>
          <w:tcPr>
            <w:tcW w:w="1992" w:type="dxa"/>
            <w:vAlign w:val="center"/>
          </w:tcPr>
          <w:p w:rsidR="00821397" w:rsidRDefault="00821397" w:rsidP="00821397">
            <w:pPr>
              <w:pStyle w:val="Body"/>
              <w:spacing w:before="120"/>
              <w:jc w:val="center"/>
            </w:pPr>
            <w:r>
              <w:t>CalaChem Global Equity Tracker</w:t>
            </w:r>
          </w:p>
        </w:tc>
        <w:tc>
          <w:tcPr>
            <w:tcW w:w="4326" w:type="dxa"/>
            <w:vMerge/>
            <w:vAlign w:val="center"/>
          </w:tcPr>
          <w:p w:rsidR="00821397" w:rsidRDefault="00821397" w:rsidP="00406560">
            <w:pPr>
              <w:pStyle w:val="Body"/>
              <w:spacing w:before="120" w:after="0"/>
              <w:jc w:val="center"/>
            </w:pPr>
          </w:p>
        </w:tc>
        <w:tc>
          <w:tcPr>
            <w:tcW w:w="1237" w:type="dxa"/>
            <w:vAlign w:val="center"/>
          </w:tcPr>
          <w:p w:rsidR="00821397" w:rsidRDefault="00821397" w:rsidP="00503D15">
            <w:pPr>
              <w:pStyle w:val="Body"/>
              <w:jc w:val="center"/>
            </w:pPr>
            <w:r>
              <w:t>0.075</w:t>
            </w:r>
          </w:p>
        </w:tc>
        <w:tc>
          <w:tcPr>
            <w:tcW w:w="1105" w:type="dxa"/>
            <w:vAlign w:val="center"/>
          </w:tcPr>
          <w:p w:rsidR="00821397" w:rsidRDefault="00821397" w:rsidP="00503D15">
            <w:pPr>
              <w:pStyle w:val="Body"/>
              <w:jc w:val="center"/>
            </w:pPr>
            <w:r>
              <w:t>0.0138</w:t>
            </w:r>
          </w:p>
        </w:tc>
        <w:tc>
          <w:tcPr>
            <w:tcW w:w="1197" w:type="dxa"/>
            <w:vAlign w:val="center"/>
          </w:tcPr>
          <w:p w:rsidR="00821397" w:rsidRDefault="00821397" w:rsidP="00503D15">
            <w:pPr>
              <w:pStyle w:val="Body"/>
              <w:jc w:val="center"/>
            </w:pPr>
            <w:r>
              <w:t>Passive</w:t>
            </w:r>
          </w:p>
        </w:tc>
      </w:tr>
      <w:tr w:rsidR="00821397" w:rsidTr="00B5663A">
        <w:trPr>
          <w:cantSplit/>
        </w:trPr>
        <w:tc>
          <w:tcPr>
            <w:tcW w:w="1992" w:type="dxa"/>
            <w:vAlign w:val="center"/>
          </w:tcPr>
          <w:p w:rsidR="00503D15" w:rsidRDefault="00503D15" w:rsidP="00821397">
            <w:pPr>
              <w:pStyle w:val="Body"/>
              <w:spacing w:before="120"/>
              <w:jc w:val="center"/>
            </w:pPr>
            <w:r>
              <w:t>Cash Fund (CC)</w:t>
            </w:r>
          </w:p>
        </w:tc>
        <w:tc>
          <w:tcPr>
            <w:tcW w:w="4326" w:type="dxa"/>
            <w:vAlign w:val="center"/>
          </w:tcPr>
          <w:p w:rsidR="00503D15" w:rsidRDefault="00821397" w:rsidP="00406560">
            <w:pPr>
              <w:pStyle w:val="Body"/>
              <w:spacing w:before="120" w:after="0"/>
              <w:jc w:val="center"/>
            </w:pPr>
            <w:r>
              <w:t>100%: LGIM Cash</w:t>
            </w:r>
          </w:p>
        </w:tc>
        <w:tc>
          <w:tcPr>
            <w:tcW w:w="1237" w:type="dxa"/>
            <w:vAlign w:val="center"/>
          </w:tcPr>
          <w:p w:rsidR="00503D15" w:rsidRDefault="00503D15" w:rsidP="00821397">
            <w:pPr>
              <w:pStyle w:val="Body"/>
              <w:jc w:val="center"/>
            </w:pPr>
            <w:r>
              <w:t>0.025</w:t>
            </w:r>
          </w:p>
        </w:tc>
        <w:tc>
          <w:tcPr>
            <w:tcW w:w="1105" w:type="dxa"/>
            <w:vAlign w:val="center"/>
          </w:tcPr>
          <w:p w:rsidR="00503D15" w:rsidRDefault="00503D15" w:rsidP="00821397">
            <w:pPr>
              <w:pStyle w:val="Body"/>
              <w:jc w:val="center"/>
            </w:pPr>
            <w:r>
              <w:t>0.075</w:t>
            </w:r>
          </w:p>
        </w:tc>
        <w:tc>
          <w:tcPr>
            <w:tcW w:w="1197" w:type="dxa"/>
            <w:vAlign w:val="center"/>
          </w:tcPr>
          <w:p w:rsidR="00503D15" w:rsidRDefault="00503D15" w:rsidP="00821397">
            <w:pPr>
              <w:pStyle w:val="Body"/>
              <w:jc w:val="center"/>
            </w:pPr>
            <w:r>
              <w:t>Active</w:t>
            </w:r>
          </w:p>
        </w:tc>
      </w:tr>
    </w:tbl>
    <w:p w:rsidR="00821397" w:rsidRDefault="00821397" w:rsidP="00821397">
      <w:pPr>
        <w:pStyle w:val="Bodytext70"/>
        <w:shd w:val="clear" w:color="auto" w:fill="auto"/>
        <w:spacing w:before="0" w:after="0" w:line="140" w:lineRule="exact"/>
        <w:jc w:val="left"/>
        <w:rPr>
          <w:rStyle w:val="Bodytext7"/>
          <w:color w:val="000000"/>
        </w:rPr>
      </w:pPr>
      <w:r>
        <w:rPr>
          <w:rStyle w:val="Bodytext7"/>
          <w:color w:val="000000"/>
        </w:rPr>
        <w:t>Source: Old Mutual Wealth (data, as at 31 March 2019)</w:t>
      </w:r>
    </w:p>
    <w:p w:rsidR="002D7638" w:rsidRDefault="002D7638" w:rsidP="002D7638">
      <w:pPr>
        <w:pStyle w:val="Body"/>
      </w:pPr>
    </w:p>
    <w:p w:rsidR="00B5663A" w:rsidRDefault="00B5663A">
      <w:pPr>
        <w:widowControl w:val="0"/>
        <w:jc w:val="left"/>
        <w:rPr>
          <w:rFonts w:eastAsia="Arial" w:cs="Arial"/>
        </w:rPr>
      </w:pPr>
      <w:r>
        <w:br w:type="page"/>
      </w:r>
    </w:p>
    <w:p w:rsidR="00542443" w:rsidRDefault="00542443" w:rsidP="00B5663A">
      <w:pPr>
        <w:pStyle w:val="Body"/>
        <w:rPr>
          <w:sz w:val="2"/>
          <w:szCs w:val="2"/>
        </w:rPr>
      </w:pPr>
    </w:p>
    <w:p w:rsidR="00542443" w:rsidRPr="00B5663A" w:rsidRDefault="0067690E" w:rsidP="00B5663A">
      <w:pPr>
        <w:pStyle w:val="Body"/>
        <w:rPr>
          <w:b/>
          <w:color w:val="999999"/>
          <w:sz w:val="32"/>
          <w:szCs w:val="32"/>
        </w:rPr>
      </w:pPr>
      <w:r>
        <w:rPr>
          <w:b/>
          <w:color w:val="999999"/>
          <w:sz w:val="32"/>
          <w:szCs w:val="32"/>
        </w:rPr>
        <w:fldChar w:fldCharType="begin"/>
      </w:r>
      <w:r w:rsidRPr="0067690E">
        <w:instrText xml:space="preserve">  TC "</w:instrText>
      </w:r>
      <w:bookmarkStart w:id="63" w:name="_Toc17753356"/>
      <w:r>
        <w:instrText>Appendix C - Lifestyle arrangement age matrix</w:instrText>
      </w:r>
      <w:bookmarkEnd w:id="63"/>
      <w:r w:rsidRPr="0067690E">
        <w:instrText xml:space="preserve">" \l1 </w:instrText>
      </w:r>
      <w:r>
        <w:rPr>
          <w:b/>
          <w:color w:val="999999"/>
          <w:sz w:val="32"/>
          <w:szCs w:val="32"/>
        </w:rPr>
        <w:fldChar w:fldCharType="end"/>
      </w:r>
      <w:bookmarkStart w:id="64" w:name="bookmark42"/>
      <w:r w:rsidR="00C13A3C" w:rsidRPr="00B5663A">
        <w:rPr>
          <w:b/>
          <w:color w:val="999999"/>
          <w:sz w:val="32"/>
          <w:szCs w:val="32"/>
        </w:rPr>
        <w:t>Appendix C - Lifestyle arrangement age matrix</w:t>
      </w:r>
      <w:bookmarkEnd w:id="64"/>
    </w:p>
    <w:p w:rsidR="00542443" w:rsidRDefault="00C13A3C" w:rsidP="00B5663A">
      <w:pPr>
        <w:pStyle w:val="Body"/>
      </w:pPr>
      <w:r w:rsidRPr="00B5663A">
        <w:t>The matrix below details an example of a member's lifestyle progression across the four Blended Funds in the Li</w:t>
      </w:r>
      <w:r w:rsidR="00B5663A">
        <w:t>fe</w:t>
      </w:r>
      <w:r w:rsidRPr="00B5663A">
        <w:t>style arrangement.</w:t>
      </w:r>
    </w:p>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84"/>
        <w:gridCol w:w="1984"/>
        <w:gridCol w:w="1984"/>
        <w:gridCol w:w="1984"/>
      </w:tblGrid>
      <w:tr w:rsidR="00B5663A" w:rsidRPr="00C72269" w:rsidTr="004B25FC">
        <w:trPr>
          <w:cantSplit/>
        </w:trPr>
        <w:tc>
          <w:tcPr>
            <w:tcW w:w="1984" w:type="dxa"/>
            <w:shd w:val="clear" w:color="auto" w:fill="A6A6A6" w:themeFill="background1" w:themeFillShade="A6"/>
            <w:vAlign w:val="center"/>
          </w:tcPr>
          <w:p w:rsidR="00B5663A" w:rsidRPr="00C72269" w:rsidRDefault="00B5663A" w:rsidP="004B25FC">
            <w:pPr>
              <w:pStyle w:val="Body"/>
              <w:spacing w:before="240"/>
              <w:jc w:val="center"/>
              <w:rPr>
                <w:b/>
                <w:color w:val="FFFFFF" w:themeColor="background1"/>
              </w:rPr>
            </w:pPr>
            <w:r>
              <w:rPr>
                <w:b/>
                <w:color w:val="FFFFFF" w:themeColor="background1"/>
              </w:rPr>
              <w:t>Years to R</w:t>
            </w:r>
            <w:r w:rsidR="004B25FC">
              <w:rPr>
                <w:b/>
                <w:color w:val="FFFFFF" w:themeColor="background1"/>
              </w:rPr>
              <w:t>e</w:t>
            </w:r>
            <w:r>
              <w:rPr>
                <w:b/>
                <w:color w:val="FFFFFF" w:themeColor="background1"/>
              </w:rPr>
              <w:t>tirement</w:t>
            </w:r>
          </w:p>
        </w:tc>
        <w:tc>
          <w:tcPr>
            <w:tcW w:w="1984" w:type="dxa"/>
            <w:shd w:val="clear" w:color="auto" w:fill="A6A6A6" w:themeFill="background1" w:themeFillShade="A6"/>
            <w:vAlign w:val="center"/>
          </w:tcPr>
          <w:p w:rsidR="00B5663A" w:rsidRPr="00C72269" w:rsidRDefault="00B5663A" w:rsidP="00B5663A">
            <w:pPr>
              <w:pStyle w:val="Body"/>
              <w:spacing w:before="240"/>
              <w:jc w:val="center"/>
              <w:rPr>
                <w:b/>
                <w:color w:val="FFFFFF" w:themeColor="background1"/>
              </w:rPr>
            </w:pPr>
            <w:r>
              <w:rPr>
                <w:b/>
                <w:color w:val="FFFFFF" w:themeColor="background1"/>
              </w:rPr>
              <w:t>CalaChem Managed Long Term Growth / Higher Risk Fund</w:t>
            </w:r>
          </w:p>
        </w:tc>
        <w:tc>
          <w:tcPr>
            <w:tcW w:w="1984" w:type="dxa"/>
            <w:shd w:val="clear" w:color="auto" w:fill="A6A6A6" w:themeFill="background1" w:themeFillShade="A6"/>
            <w:vAlign w:val="center"/>
          </w:tcPr>
          <w:p w:rsidR="00B5663A" w:rsidRPr="00C72269" w:rsidRDefault="004B25FC" w:rsidP="00406560">
            <w:pPr>
              <w:pStyle w:val="Body"/>
              <w:spacing w:before="240"/>
              <w:jc w:val="center"/>
              <w:rPr>
                <w:b/>
                <w:color w:val="FFFFFF" w:themeColor="background1"/>
              </w:rPr>
            </w:pPr>
            <w:r>
              <w:rPr>
                <w:b/>
                <w:color w:val="FFFFFF" w:themeColor="background1"/>
              </w:rPr>
              <w:t>CalaChem Managed Stable Growth / Balanced Risk Fund</w:t>
            </w:r>
          </w:p>
        </w:tc>
        <w:tc>
          <w:tcPr>
            <w:tcW w:w="1984" w:type="dxa"/>
            <w:shd w:val="clear" w:color="auto" w:fill="A6A6A6" w:themeFill="background1" w:themeFillShade="A6"/>
            <w:vAlign w:val="center"/>
          </w:tcPr>
          <w:p w:rsidR="00B5663A" w:rsidRPr="00C72269" w:rsidRDefault="004B25FC" w:rsidP="00406560">
            <w:pPr>
              <w:pStyle w:val="Body"/>
              <w:spacing w:before="240"/>
              <w:jc w:val="center"/>
              <w:rPr>
                <w:b/>
                <w:color w:val="FFFFFF" w:themeColor="background1"/>
              </w:rPr>
            </w:pPr>
            <w:r>
              <w:rPr>
                <w:b/>
                <w:color w:val="FFFFFF" w:themeColor="background1"/>
              </w:rPr>
              <w:t>CalaChem Managed Cautious Growth / Lower Risk Fund</w:t>
            </w:r>
          </w:p>
        </w:tc>
        <w:tc>
          <w:tcPr>
            <w:tcW w:w="1984" w:type="dxa"/>
            <w:shd w:val="clear" w:color="auto" w:fill="A6A6A6" w:themeFill="background1" w:themeFillShade="A6"/>
            <w:vAlign w:val="center"/>
          </w:tcPr>
          <w:p w:rsidR="00B5663A" w:rsidRPr="00C72269" w:rsidRDefault="004B25FC" w:rsidP="00406560">
            <w:pPr>
              <w:pStyle w:val="Body"/>
              <w:spacing w:before="240"/>
              <w:jc w:val="center"/>
              <w:rPr>
                <w:b/>
                <w:color w:val="FFFFFF" w:themeColor="background1"/>
              </w:rPr>
            </w:pPr>
            <w:r>
              <w:rPr>
                <w:b/>
                <w:color w:val="FFFFFF" w:themeColor="background1"/>
              </w:rPr>
              <w:t>CalaChem Retirement Protection Fund</w:t>
            </w:r>
          </w:p>
        </w:tc>
      </w:tr>
      <w:tr w:rsidR="00B5663A" w:rsidRPr="004B25FC" w:rsidTr="004B25FC">
        <w:trPr>
          <w:cantSplit/>
        </w:trPr>
        <w:tc>
          <w:tcPr>
            <w:tcW w:w="1984" w:type="dxa"/>
          </w:tcPr>
          <w:p w:rsidR="00B5663A" w:rsidRPr="004B25FC" w:rsidRDefault="004B25FC" w:rsidP="004B25FC">
            <w:pPr>
              <w:jc w:val="center"/>
            </w:pPr>
            <w:r>
              <w:t>40+</w:t>
            </w:r>
          </w:p>
        </w:tc>
        <w:tc>
          <w:tcPr>
            <w:tcW w:w="1984" w:type="dxa"/>
          </w:tcPr>
          <w:p w:rsidR="00B5663A" w:rsidRPr="004B25FC" w:rsidRDefault="004B25FC" w:rsidP="004B25FC">
            <w:pPr>
              <w:jc w:val="center"/>
            </w:pPr>
            <w:r>
              <w:t>100</w:t>
            </w:r>
          </w:p>
        </w:tc>
        <w:tc>
          <w:tcPr>
            <w:tcW w:w="1984" w:type="dxa"/>
          </w:tcPr>
          <w:p w:rsidR="00B5663A" w:rsidRPr="004B25FC" w:rsidRDefault="00B5663A" w:rsidP="004B25FC">
            <w:pPr>
              <w:jc w:val="center"/>
            </w:pPr>
          </w:p>
        </w:tc>
        <w:tc>
          <w:tcPr>
            <w:tcW w:w="1984" w:type="dxa"/>
          </w:tcPr>
          <w:p w:rsidR="00B5663A" w:rsidRPr="004B25FC" w:rsidRDefault="00B5663A" w:rsidP="004B25FC">
            <w:pPr>
              <w:jc w:val="center"/>
            </w:pPr>
          </w:p>
        </w:tc>
        <w:tc>
          <w:tcPr>
            <w:tcW w:w="1984" w:type="dxa"/>
          </w:tcPr>
          <w:p w:rsidR="00B5663A" w:rsidRPr="004B25FC" w:rsidRDefault="00B5663A" w:rsidP="004B25FC">
            <w:pPr>
              <w:jc w:val="center"/>
            </w:pPr>
          </w:p>
        </w:tc>
      </w:tr>
      <w:tr w:rsidR="00B5663A" w:rsidRPr="004B25FC" w:rsidTr="004B25FC">
        <w:trPr>
          <w:cantSplit/>
        </w:trPr>
        <w:tc>
          <w:tcPr>
            <w:tcW w:w="1984" w:type="dxa"/>
          </w:tcPr>
          <w:p w:rsidR="00B5663A" w:rsidRPr="004B25FC" w:rsidRDefault="004B25FC" w:rsidP="004B25FC">
            <w:pPr>
              <w:jc w:val="center"/>
            </w:pPr>
            <w:r>
              <w:t>39</w:t>
            </w:r>
          </w:p>
        </w:tc>
        <w:tc>
          <w:tcPr>
            <w:tcW w:w="1984" w:type="dxa"/>
          </w:tcPr>
          <w:p w:rsidR="00B5663A" w:rsidRPr="004B25FC" w:rsidRDefault="00406560" w:rsidP="004B25FC">
            <w:pPr>
              <w:jc w:val="center"/>
            </w:pPr>
            <w:r>
              <w:t>100</w:t>
            </w:r>
          </w:p>
        </w:tc>
        <w:tc>
          <w:tcPr>
            <w:tcW w:w="1984" w:type="dxa"/>
          </w:tcPr>
          <w:p w:rsidR="00B5663A" w:rsidRPr="004B25FC" w:rsidRDefault="00B5663A" w:rsidP="004B25FC">
            <w:pPr>
              <w:jc w:val="center"/>
            </w:pPr>
          </w:p>
        </w:tc>
        <w:tc>
          <w:tcPr>
            <w:tcW w:w="1984" w:type="dxa"/>
          </w:tcPr>
          <w:p w:rsidR="00B5663A" w:rsidRPr="004B25FC" w:rsidRDefault="00B5663A" w:rsidP="004B25FC">
            <w:pPr>
              <w:jc w:val="center"/>
            </w:pPr>
          </w:p>
        </w:tc>
        <w:tc>
          <w:tcPr>
            <w:tcW w:w="1984" w:type="dxa"/>
          </w:tcPr>
          <w:p w:rsidR="00B5663A" w:rsidRPr="004B25FC" w:rsidRDefault="00B5663A" w:rsidP="004B25FC">
            <w:pPr>
              <w:jc w:val="center"/>
            </w:pPr>
          </w:p>
        </w:tc>
      </w:tr>
      <w:tr w:rsidR="004B25FC" w:rsidRPr="004B25FC" w:rsidTr="004B25FC">
        <w:trPr>
          <w:cantSplit/>
        </w:trPr>
        <w:tc>
          <w:tcPr>
            <w:tcW w:w="1984" w:type="dxa"/>
          </w:tcPr>
          <w:p w:rsidR="00B5663A" w:rsidRPr="004B25FC" w:rsidRDefault="004B25FC" w:rsidP="004B25FC">
            <w:pPr>
              <w:jc w:val="center"/>
            </w:pPr>
            <w:r>
              <w:t>38</w:t>
            </w:r>
          </w:p>
        </w:tc>
        <w:tc>
          <w:tcPr>
            <w:tcW w:w="1984" w:type="dxa"/>
          </w:tcPr>
          <w:p w:rsidR="00B5663A" w:rsidRPr="004B25FC" w:rsidRDefault="00406560" w:rsidP="004B25FC">
            <w:pPr>
              <w:jc w:val="center"/>
            </w:pPr>
            <w:r>
              <w:t>100</w:t>
            </w:r>
          </w:p>
        </w:tc>
        <w:tc>
          <w:tcPr>
            <w:tcW w:w="1984" w:type="dxa"/>
          </w:tcPr>
          <w:p w:rsidR="00B5663A" w:rsidRPr="004B25FC" w:rsidRDefault="00B5663A" w:rsidP="004B25FC">
            <w:pPr>
              <w:jc w:val="center"/>
            </w:pPr>
          </w:p>
        </w:tc>
        <w:tc>
          <w:tcPr>
            <w:tcW w:w="1984" w:type="dxa"/>
          </w:tcPr>
          <w:p w:rsidR="00B5663A" w:rsidRPr="004B25FC" w:rsidRDefault="00B5663A" w:rsidP="004B25FC">
            <w:pPr>
              <w:jc w:val="center"/>
            </w:pPr>
          </w:p>
        </w:tc>
        <w:tc>
          <w:tcPr>
            <w:tcW w:w="1984" w:type="dxa"/>
          </w:tcPr>
          <w:p w:rsidR="00B5663A" w:rsidRPr="004B25FC" w:rsidRDefault="00B5663A" w:rsidP="004B25FC">
            <w:pPr>
              <w:jc w:val="center"/>
            </w:pPr>
          </w:p>
        </w:tc>
      </w:tr>
      <w:tr w:rsidR="004B25FC" w:rsidTr="004B25FC">
        <w:trPr>
          <w:cantSplit/>
        </w:trPr>
        <w:tc>
          <w:tcPr>
            <w:tcW w:w="1984" w:type="dxa"/>
          </w:tcPr>
          <w:p w:rsidR="00B5663A" w:rsidRPr="004B25FC" w:rsidRDefault="004B25FC" w:rsidP="004B25FC">
            <w:pPr>
              <w:jc w:val="center"/>
            </w:pPr>
            <w:r>
              <w:t>37</w:t>
            </w:r>
          </w:p>
        </w:tc>
        <w:tc>
          <w:tcPr>
            <w:tcW w:w="1984" w:type="dxa"/>
          </w:tcPr>
          <w:p w:rsidR="00B5663A" w:rsidRPr="004B25FC" w:rsidRDefault="00406560" w:rsidP="004B25FC">
            <w:pPr>
              <w:jc w:val="center"/>
            </w:pPr>
            <w:r>
              <w:t>100</w:t>
            </w:r>
          </w:p>
        </w:tc>
        <w:tc>
          <w:tcPr>
            <w:tcW w:w="1984" w:type="dxa"/>
          </w:tcPr>
          <w:p w:rsidR="00B5663A" w:rsidRPr="004B25FC" w:rsidRDefault="00B5663A" w:rsidP="004B25FC">
            <w:pPr>
              <w:jc w:val="center"/>
            </w:pPr>
          </w:p>
        </w:tc>
        <w:tc>
          <w:tcPr>
            <w:tcW w:w="1984" w:type="dxa"/>
          </w:tcPr>
          <w:p w:rsidR="00B5663A" w:rsidRPr="004B25FC" w:rsidRDefault="00B5663A" w:rsidP="004B25FC">
            <w:pPr>
              <w:jc w:val="center"/>
            </w:pPr>
          </w:p>
        </w:tc>
        <w:tc>
          <w:tcPr>
            <w:tcW w:w="1984" w:type="dxa"/>
          </w:tcPr>
          <w:p w:rsidR="00B5663A" w:rsidRPr="004B25FC" w:rsidRDefault="00B5663A" w:rsidP="004B25FC">
            <w:pPr>
              <w:jc w:val="center"/>
            </w:pPr>
          </w:p>
        </w:tc>
      </w:tr>
      <w:tr w:rsidR="004B25FC" w:rsidTr="004B25FC">
        <w:trPr>
          <w:cantSplit/>
        </w:trPr>
        <w:tc>
          <w:tcPr>
            <w:tcW w:w="1984" w:type="dxa"/>
          </w:tcPr>
          <w:p w:rsidR="004B25FC" w:rsidRDefault="004B25FC" w:rsidP="004B25FC">
            <w:pPr>
              <w:jc w:val="center"/>
            </w:pPr>
            <w:r>
              <w:t>36</w:t>
            </w: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35</w:t>
            </w: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34</w:t>
            </w: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33</w:t>
            </w: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32</w:t>
            </w: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31</w:t>
            </w: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30</w:t>
            </w: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29</w:t>
            </w:r>
          </w:p>
        </w:tc>
        <w:tc>
          <w:tcPr>
            <w:tcW w:w="1984" w:type="dxa"/>
          </w:tcPr>
          <w:p w:rsidR="004B25FC" w:rsidRPr="004B25FC" w:rsidRDefault="00406560" w:rsidP="00406560">
            <w:pPr>
              <w:jc w:val="center"/>
            </w:pPr>
            <w:r>
              <w:t>80</w:t>
            </w:r>
          </w:p>
        </w:tc>
        <w:tc>
          <w:tcPr>
            <w:tcW w:w="1984" w:type="dxa"/>
          </w:tcPr>
          <w:p w:rsidR="004B25FC" w:rsidRPr="004B25FC" w:rsidRDefault="00406560" w:rsidP="004B25FC">
            <w:pPr>
              <w:jc w:val="center"/>
            </w:pPr>
            <w:r>
              <w:t>20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28</w:t>
            </w:r>
          </w:p>
        </w:tc>
        <w:tc>
          <w:tcPr>
            <w:tcW w:w="1984" w:type="dxa"/>
          </w:tcPr>
          <w:p w:rsidR="004B25FC" w:rsidRPr="004B25FC" w:rsidRDefault="00406560" w:rsidP="004B25FC">
            <w:pPr>
              <w:jc w:val="center"/>
            </w:pPr>
            <w:r>
              <w:t>60</w:t>
            </w:r>
          </w:p>
        </w:tc>
        <w:tc>
          <w:tcPr>
            <w:tcW w:w="1984" w:type="dxa"/>
          </w:tcPr>
          <w:p w:rsidR="004B25FC" w:rsidRPr="004B25FC" w:rsidRDefault="00406560" w:rsidP="004B25FC">
            <w:pPr>
              <w:jc w:val="center"/>
            </w:pPr>
            <w:r>
              <w:t>40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27</w:t>
            </w:r>
          </w:p>
        </w:tc>
        <w:tc>
          <w:tcPr>
            <w:tcW w:w="1984" w:type="dxa"/>
          </w:tcPr>
          <w:p w:rsidR="004B25FC" w:rsidRPr="004B25FC" w:rsidRDefault="00406560" w:rsidP="004B25FC">
            <w:pPr>
              <w:jc w:val="center"/>
            </w:pPr>
            <w:r>
              <w:t>40</w:t>
            </w:r>
          </w:p>
        </w:tc>
        <w:tc>
          <w:tcPr>
            <w:tcW w:w="1984" w:type="dxa"/>
          </w:tcPr>
          <w:p w:rsidR="004B25FC" w:rsidRPr="004B25FC" w:rsidRDefault="00406560" w:rsidP="004B25FC">
            <w:pPr>
              <w:jc w:val="center"/>
            </w:pPr>
            <w:r>
              <w:t>60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26</w:t>
            </w:r>
          </w:p>
        </w:tc>
        <w:tc>
          <w:tcPr>
            <w:tcW w:w="1984" w:type="dxa"/>
          </w:tcPr>
          <w:p w:rsidR="004B25FC" w:rsidRPr="004B25FC" w:rsidRDefault="00406560" w:rsidP="004B25FC">
            <w:pPr>
              <w:jc w:val="center"/>
            </w:pPr>
            <w:r>
              <w:t>20</w:t>
            </w:r>
          </w:p>
        </w:tc>
        <w:tc>
          <w:tcPr>
            <w:tcW w:w="1984" w:type="dxa"/>
          </w:tcPr>
          <w:p w:rsidR="004B25FC" w:rsidRPr="004B25FC" w:rsidRDefault="00406560" w:rsidP="004B25FC">
            <w:pPr>
              <w:jc w:val="center"/>
            </w:pPr>
            <w:r>
              <w:t>80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25</w:t>
            </w: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24</w:t>
            </w: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23</w:t>
            </w: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22</w:t>
            </w: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21</w:t>
            </w: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20</w:t>
            </w: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19</w:t>
            </w: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18</w:t>
            </w: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17</w:t>
            </w: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16</w:t>
            </w: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15</w:t>
            </w: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14</w:t>
            </w: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80</w:t>
            </w:r>
          </w:p>
        </w:tc>
        <w:tc>
          <w:tcPr>
            <w:tcW w:w="1984" w:type="dxa"/>
          </w:tcPr>
          <w:p w:rsidR="004B25FC" w:rsidRPr="004B25FC" w:rsidRDefault="00406560" w:rsidP="004B25FC">
            <w:pPr>
              <w:jc w:val="center"/>
            </w:pPr>
            <w:r>
              <w:t>20</w:t>
            </w: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13</w:t>
            </w: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60</w:t>
            </w:r>
          </w:p>
        </w:tc>
        <w:tc>
          <w:tcPr>
            <w:tcW w:w="1984" w:type="dxa"/>
          </w:tcPr>
          <w:p w:rsidR="004B25FC" w:rsidRPr="004B25FC" w:rsidRDefault="00406560" w:rsidP="004B25FC">
            <w:pPr>
              <w:jc w:val="center"/>
            </w:pPr>
            <w:r>
              <w:t>40</w:t>
            </w: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12</w:t>
            </w: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40</w:t>
            </w:r>
          </w:p>
        </w:tc>
        <w:tc>
          <w:tcPr>
            <w:tcW w:w="1984" w:type="dxa"/>
          </w:tcPr>
          <w:p w:rsidR="004B25FC" w:rsidRPr="004B25FC" w:rsidRDefault="00406560" w:rsidP="004B25FC">
            <w:pPr>
              <w:jc w:val="center"/>
            </w:pPr>
            <w:r>
              <w:t>60</w:t>
            </w: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11</w:t>
            </w: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20</w:t>
            </w:r>
          </w:p>
        </w:tc>
        <w:tc>
          <w:tcPr>
            <w:tcW w:w="1984" w:type="dxa"/>
          </w:tcPr>
          <w:p w:rsidR="004B25FC" w:rsidRPr="004B25FC" w:rsidRDefault="00406560" w:rsidP="004B25FC">
            <w:pPr>
              <w:jc w:val="center"/>
            </w:pPr>
            <w:r>
              <w:t>80</w:t>
            </w: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10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9</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8</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7</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6</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5</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4</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3</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100</w:t>
            </w:r>
          </w:p>
        </w:tc>
        <w:tc>
          <w:tcPr>
            <w:tcW w:w="1984" w:type="dxa"/>
          </w:tcPr>
          <w:p w:rsidR="004B25FC" w:rsidRPr="004B25FC" w:rsidRDefault="004B25FC" w:rsidP="004B25FC">
            <w:pPr>
              <w:jc w:val="center"/>
            </w:pPr>
          </w:p>
        </w:tc>
      </w:tr>
      <w:tr w:rsidR="004B25FC" w:rsidTr="004B25FC">
        <w:trPr>
          <w:cantSplit/>
        </w:trPr>
        <w:tc>
          <w:tcPr>
            <w:tcW w:w="1984" w:type="dxa"/>
          </w:tcPr>
          <w:p w:rsidR="004B25FC" w:rsidRDefault="004B25FC" w:rsidP="004B25FC">
            <w:pPr>
              <w:jc w:val="center"/>
            </w:pPr>
            <w:r>
              <w:t>2.75</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92</w:t>
            </w:r>
          </w:p>
        </w:tc>
        <w:tc>
          <w:tcPr>
            <w:tcW w:w="1984" w:type="dxa"/>
          </w:tcPr>
          <w:p w:rsidR="004B25FC" w:rsidRPr="004B25FC" w:rsidRDefault="00406560" w:rsidP="004B25FC">
            <w:pPr>
              <w:jc w:val="center"/>
            </w:pPr>
            <w:r>
              <w:t>8</w:t>
            </w:r>
          </w:p>
        </w:tc>
      </w:tr>
      <w:tr w:rsidR="004B25FC" w:rsidTr="004B25FC">
        <w:trPr>
          <w:cantSplit/>
        </w:trPr>
        <w:tc>
          <w:tcPr>
            <w:tcW w:w="1984" w:type="dxa"/>
          </w:tcPr>
          <w:p w:rsidR="004B25FC" w:rsidRDefault="004B25FC" w:rsidP="004B25FC">
            <w:pPr>
              <w:jc w:val="center"/>
            </w:pPr>
            <w:r>
              <w:t>2.50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83</w:t>
            </w:r>
          </w:p>
        </w:tc>
        <w:tc>
          <w:tcPr>
            <w:tcW w:w="1984" w:type="dxa"/>
          </w:tcPr>
          <w:p w:rsidR="004B25FC" w:rsidRPr="004B25FC" w:rsidRDefault="00406560" w:rsidP="004B25FC">
            <w:pPr>
              <w:jc w:val="center"/>
            </w:pPr>
            <w:r>
              <w:t>17</w:t>
            </w:r>
          </w:p>
        </w:tc>
      </w:tr>
      <w:tr w:rsidR="004B25FC" w:rsidTr="004B25FC">
        <w:trPr>
          <w:cantSplit/>
        </w:trPr>
        <w:tc>
          <w:tcPr>
            <w:tcW w:w="1984" w:type="dxa"/>
          </w:tcPr>
          <w:p w:rsidR="004B25FC" w:rsidRDefault="004B25FC" w:rsidP="004B25FC">
            <w:pPr>
              <w:jc w:val="center"/>
            </w:pPr>
            <w:r>
              <w:t>2.25</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75</w:t>
            </w:r>
          </w:p>
        </w:tc>
        <w:tc>
          <w:tcPr>
            <w:tcW w:w="1984" w:type="dxa"/>
          </w:tcPr>
          <w:p w:rsidR="004B25FC" w:rsidRPr="004B25FC" w:rsidRDefault="00406560" w:rsidP="004B25FC">
            <w:pPr>
              <w:jc w:val="center"/>
            </w:pPr>
            <w:r>
              <w:t>25</w:t>
            </w:r>
          </w:p>
        </w:tc>
      </w:tr>
      <w:tr w:rsidR="004B25FC" w:rsidTr="004B25FC">
        <w:trPr>
          <w:cantSplit/>
        </w:trPr>
        <w:tc>
          <w:tcPr>
            <w:tcW w:w="1984" w:type="dxa"/>
          </w:tcPr>
          <w:p w:rsidR="004B25FC" w:rsidRDefault="004B25FC" w:rsidP="004B25FC">
            <w:pPr>
              <w:jc w:val="center"/>
            </w:pPr>
            <w:r>
              <w:t>2.00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67</w:t>
            </w:r>
          </w:p>
        </w:tc>
        <w:tc>
          <w:tcPr>
            <w:tcW w:w="1984" w:type="dxa"/>
          </w:tcPr>
          <w:p w:rsidR="004B25FC" w:rsidRPr="004B25FC" w:rsidRDefault="00406560" w:rsidP="004B25FC">
            <w:pPr>
              <w:jc w:val="center"/>
            </w:pPr>
            <w:r>
              <w:t>33</w:t>
            </w:r>
          </w:p>
        </w:tc>
      </w:tr>
      <w:tr w:rsidR="004B25FC" w:rsidTr="004B25FC">
        <w:trPr>
          <w:cantSplit/>
        </w:trPr>
        <w:tc>
          <w:tcPr>
            <w:tcW w:w="1984" w:type="dxa"/>
          </w:tcPr>
          <w:p w:rsidR="004B25FC" w:rsidRDefault="004B25FC" w:rsidP="004B25FC">
            <w:pPr>
              <w:jc w:val="center"/>
            </w:pPr>
            <w:r>
              <w:t>1.75</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58</w:t>
            </w:r>
          </w:p>
        </w:tc>
        <w:tc>
          <w:tcPr>
            <w:tcW w:w="1984" w:type="dxa"/>
          </w:tcPr>
          <w:p w:rsidR="004B25FC" w:rsidRPr="004B25FC" w:rsidRDefault="00406560" w:rsidP="004B25FC">
            <w:pPr>
              <w:jc w:val="center"/>
            </w:pPr>
            <w:r>
              <w:t>42</w:t>
            </w:r>
          </w:p>
        </w:tc>
      </w:tr>
      <w:tr w:rsidR="004B25FC" w:rsidTr="004B25FC">
        <w:trPr>
          <w:cantSplit/>
        </w:trPr>
        <w:tc>
          <w:tcPr>
            <w:tcW w:w="1984" w:type="dxa"/>
          </w:tcPr>
          <w:p w:rsidR="004B25FC" w:rsidRDefault="004B25FC" w:rsidP="004B25FC">
            <w:pPr>
              <w:jc w:val="center"/>
            </w:pPr>
            <w:r>
              <w:t>1.50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50</w:t>
            </w:r>
          </w:p>
        </w:tc>
        <w:tc>
          <w:tcPr>
            <w:tcW w:w="1984" w:type="dxa"/>
          </w:tcPr>
          <w:p w:rsidR="004B25FC" w:rsidRPr="004B25FC" w:rsidRDefault="00406560" w:rsidP="004B25FC">
            <w:pPr>
              <w:jc w:val="center"/>
            </w:pPr>
            <w:r>
              <w:t>50</w:t>
            </w:r>
          </w:p>
        </w:tc>
      </w:tr>
      <w:tr w:rsidR="004B25FC" w:rsidTr="004B25FC">
        <w:trPr>
          <w:cantSplit/>
        </w:trPr>
        <w:tc>
          <w:tcPr>
            <w:tcW w:w="1984" w:type="dxa"/>
          </w:tcPr>
          <w:p w:rsidR="004B25FC" w:rsidRDefault="004B25FC" w:rsidP="004B25FC">
            <w:pPr>
              <w:jc w:val="center"/>
            </w:pPr>
            <w:r>
              <w:lastRenderedPageBreak/>
              <w:t>1.25</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42</w:t>
            </w:r>
          </w:p>
        </w:tc>
        <w:tc>
          <w:tcPr>
            <w:tcW w:w="1984" w:type="dxa"/>
          </w:tcPr>
          <w:p w:rsidR="004B25FC" w:rsidRPr="004B25FC" w:rsidRDefault="00406560" w:rsidP="004B25FC">
            <w:pPr>
              <w:jc w:val="center"/>
            </w:pPr>
            <w:r>
              <w:t>58</w:t>
            </w:r>
          </w:p>
        </w:tc>
      </w:tr>
      <w:tr w:rsidR="004B25FC" w:rsidTr="004B25FC">
        <w:trPr>
          <w:cantSplit/>
        </w:trPr>
        <w:tc>
          <w:tcPr>
            <w:tcW w:w="1984" w:type="dxa"/>
          </w:tcPr>
          <w:p w:rsidR="004B25FC" w:rsidRDefault="004B25FC" w:rsidP="004B25FC">
            <w:pPr>
              <w:jc w:val="center"/>
            </w:pPr>
            <w:r>
              <w:t>1.0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33</w:t>
            </w:r>
          </w:p>
        </w:tc>
        <w:tc>
          <w:tcPr>
            <w:tcW w:w="1984" w:type="dxa"/>
          </w:tcPr>
          <w:p w:rsidR="004B25FC" w:rsidRPr="004B25FC" w:rsidRDefault="00406560" w:rsidP="004B25FC">
            <w:pPr>
              <w:jc w:val="center"/>
            </w:pPr>
            <w:r>
              <w:t>67</w:t>
            </w:r>
          </w:p>
        </w:tc>
      </w:tr>
      <w:tr w:rsidR="004B25FC" w:rsidTr="004B25FC">
        <w:trPr>
          <w:cantSplit/>
        </w:trPr>
        <w:tc>
          <w:tcPr>
            <w:tcW w:w="1984" w:type="dxa"/>
          </w:tcPr>
          <w:p w:rsidR="004B25FC" w:rsidRDefault="004B25FC" w:rsidP="004B25FC">
            <w:pPr>
              <w:jc w:val="center"/>
            </w:pPr>
            <w:r>
              <w:t>0.75</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25</w:t>
            </w:r>
          </w:p>
        </w:tc>
        <w:tc>
          <w:tcPr>
            <w:tcW w:w="1984" w:type="dxa"/>
          </w:tcPr>
          <w:p w:rsidR="004B25FC" w:rsidRPr="004B25FC" w:rsidRDefault="00406560" w:rsidP="004B25FC">
            <w:pPr>
              <w:jc w:val="center"/>
            </w:pPr>
            <w:r>
              <w:t>75</w:t>
            </w:r>
          </w:p>
        </w:tc>
      </w:tr>
      <w:tr w:rsidR="004B25FC" w:rsidTr="004B25FC">
        <w:trPr>
          <w:cantSplit/>
        </w:trPr>
        <w:tc>
          <w:tcPr>
            <w:tcW w:w="1984" w:type="dxa"/>
          </w:tcPr>
          <w:p w:rsidR="004B25FC" w:rsidRDefault="004B25FC" w:rsidP="004B25FC">
            <w:pPr>
              <w:jc w:val="center"/>
            </w:pPr>
            <w:r>
              <w:t>0.50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17</w:t>
            </w:r>
          </w:p>
        </w:tc>
        <w:tc>
          <w:tcPr>
            <w:tcW w:w="1984" w:type="dxa"/>
          </w:tcPr>
          <w:p w:rsidR="004B25FC" w:rsidRPr="004B25FC" w:rsidRDefault="00406560" w:rsidP="004B25FC">
            <w:pPr>
              <w:jc w:val="center"/>
            </w:pPr>
            <w:r>
              <w:t>83</w:t>
            </w:r>
          </w:p>
        </w:tc>
      </w:tr>
      <w:tr w:rsidR="004B25FC" w:rsidTr="004B25FC">
        <w:trPr>
          <w:cantSplit/>
        </w:trPr>
        <w:tc>
          <w:tcPr>
            <w:tcW w:w="1984" w:type="dxa"/>
          </w:tcPr>
          <w:p w:rsidR="004B25FC" w:rsidRDefault="004B25FC" w:rsidP="004B25FC">
            <w:pPr>
              <w:jc w:val="center"/>
            </w:pPr>
            <w:r>
              <w:t>0.25</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8</w:t>
            </w:r>
          </w:p>
        </w:tc>
        <w:tc>
          <w:tcPr>
            <w:tcW w:w="1984" w:type="dxa"/>
          </w:tcPr>
          <w:p w:rsidR="004B25FC" w:rsidRDefault="00406560" w:rsidP="004B25FC">
            <w:pPr>
              <w:jc w:val="center"/>
            </w:pPr>
            <w:r>
              <w:t>92</w:t>
            </w:r>
          </w:p>
        </w:tc>
      </w:tr>
      <w:tr w:rsidR="004B25FC" w:rsidTr="004B25FC">
        <w:trPr>
          <w:cantSplit/>
        </w:trPr>
        <w:tc>
          <w:tcPr>
            <w:tcW w:w="1984" w:type="dxa"/>
          </w:tcPr>
          <w:p w:rsidR="004B25FC" w:rsidRDefault="004B25FC" w:rsidP="004B25FC">
            <w:pPr>
              <w:jc w:val="center"/>
            </w:pPr>
            <w:r>
              <w:t>0</w:t>
            </w:r>
          </w:p>
        </w:tc>
        <w:tc>
          <w:tcPr>
            <w:tcW w:w="1984" w:type="dxa"/>
          </w:tcPr>
          <w:p w:rsidR="004B25FC" w:rsidRPr="004B25FC" w:rsidRDefault="004B25FC" w:rsidP="004B25FC">
            <w:pPr>
              <w:jc w:val="center"/>
            </w:pPr>
          </w:p>
        </w:tc>
        <w:tc>
          <w:tcPr>
            <w:tcW w:w="1984" w:type="dxa"/>
          </w:tcPr>
          <w:p w:rsidR="004B25FC" w:rsidRPr="004B25FC" w:rsidRDefault="004B25FC" w:rsidP="004B25FC">
            <w:pPr>
              <w:jc w:val="center"/>
            </w:pPr>
          </w:p>
        </w:tc>
        <w:tc>
          <w:tcPr>
            <w:tcW w:w="1984" w:type="dxa"/>
          </w:tcPr>
          <w:p w:rsidR="004B25FC" w:rsidRPr="004B25FC" w:rsidRDefault="00406560" w:rsidP="004B25FC">
            <w:pPr>
              <w:jc w:val="center"/>
            </w:pPr>
            <w:r>
              <w:t>0</w:t>
            </w:r>
          </w:p>
        </w:tc>
        <w:tc>
          <w:tcPr>
            <w:tcW w:w="1984" w:type="dxa"/>
          </w:tcPr>
          <w:p w:rsidR="004B25FC" w:rsidRDefault="00406560" w:rsidP="004B25FC">
            <w:pPr>
              <w:jc w:val="center"/>
            </w:pPr>
            <w:r>
              <w:t>100</w:t>
            </w:r>
          </w:p>
        </w:tc>
      </w:tr>
    </w:tbl>
    <w:p w:rsidR="00B5663A" w:rsidRDefault="00B5663A" w:rsidP="00406560">
      <w:pPr>
        <w:pStyle w:val="Body"/>
      </w:pPr>
    </w:p>
    <w:p w:rsidR="00406560" w:rsidRPr="00B5663A" w:rsidRDefault="00406560" w:rsidP="00406560">
      <w:pPr>
        <w:pStyle w:val="Body"/>
      </w:pPr>
    </w:p>
    <w:p w:rsidR="00542443" w:rsidRDefault="00B5663A">
      <w:pPr>
        <w:pStyle w:val="Footnote0"/>
        <w:shd w:val="clear" w:color="auto" w:fill="auto"/>
        <w:spacing w:line="140" w:lineRule="exact"/>
        <w:ind w:right="-6380"/>
      </w:pPr>
      <w:r>
        <w:t xml:space="preserve"> </w:t>
      </w:r>
      <w:r w:rsidR="00C13A3C">
        <w:rPr>
          <w:rStyle w:val="Footnote"/>
          <w:color w:val="000000"/>
          <w:vertAlign w:val="superscript"/>
        </w:rPr>
        <w:t>1</w:t>
      </w:r>
      <w:r w:rsidR="00C13A3C">
        <w:rPr>
          <w:rStyle w:val="Footnote"/>
          <w:color w:val="000000"/>
        </w:rPr>
        <w:t>AMC (Annual Management Charge) is the platform charge as at 31 March 2019.</w:t>
      </w:r>
    </w:p>
    <w:sectPr w:rsidR="00542443" w:rsidSect="0067690E">
      <w:pgSz w:w="11909" w:h="16834"/>
      <w:pgMar w:top="1418" w:right="1134" w:bottom="1418" w:left="1134"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60" w:rsidRDefault="00406560">
      <w:r>
        <w:separator/>
      </w:r>
    </w:p>
  </w:endnote>
  <w:endnote w:type="continuationSeparator" w:id="0">
    <w:p w:rsidR="00406560" w:rsidRDefault="0040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0E" w:rsidRDefault="0067690E">
    <w:pPr>
      <w:pStyle w:val="Footer"/>
      <w:jc w:val="right"/>
    </w:pPr>
    <w:r>
      <w:t xml:space="preserve">| </w:t>
    </w:r>
    <w:sdt>
      <w:sdtPr>
        <w:id w:val="-5529274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A3367">
          <w:rPr>
            <w:noProof/>
          </w:rPr>
          <w:t>23</w:t>
        </w:r>
        <w:r>
          <w:rPr>
            <w:noProof/>
          </w:rPr>
          <w:fldChar w:fldCharType="end"/>
        </w:r>
      </w:sdtContent>
    </w:sdt>
  </w:p>
  <w:p w:rsidR="0067690E" w:rsidRDefault="00676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60" w:rsidRDefault="00406560">
      <w:r>
        <w:separator/>
      </w:r>
    </w:p>
  </w:footnote>
  <w:footnote w:type="continuationSeparator" w:id="0">
    <w:p w:rsidR="00406560" w:rsidRDefault="00406560">
      <w:r>
        <w:continuationSeparator/>
      </w:r>
    </w:p>
  </w:footnote>
  <w:footnote w:id="1">
    <w:p w:rsidR="00406560" w:rsidRPr="00C72269" w:rsidRDefault="00406560">
      <w:pPr>
        <w:pStyle w:val="FootnoteText"/>
        <w:rPr>
          <w:lang w:val="en-US"/>
        </w:rPr>
      </w:pPr>
      <w:r>
        <w:rPr>
          <w:rStyle w:val="FootnoteReference"/>
        </w:rPr>
        <w:footnoteRef/>
      </w:r>
      <w:r>
        <w:t xml:space="preserve"> </w:t>
      </w:r>
      <w:r w:rsidRPr="00C72269">
        <w:t xml:space="preserve">AMC (Annual Management Charge) is the platform charge as at 31 March 2019. </w:t>
      </w:r>
    </w:p>
  </w:footnote>
  <w:footnote w:id="2">
    <w:p w:rsidR="00406560" w:rsidRPr="00C72269" w:rsidRDefault="00406560">
      <w:pPr>
        <w:pStyle w:val="FootnoteText"/>
        <w:rPr>
          <w:lang w:val="en-US"/>
        </w:rPr>
      </w:pPr>
      <w:r>
        <w:rPr>
          <w:rStyle w:val="FootnoteReference"/>
        </w:rPr>
        <w:footnoteRef/>
      </w:r>
      <w:r>
        <w:t xml:space="preserve"> </w:t>
      </w:r>
      <w:r w:rsidRPr="00C72269">
        <w:t>OCF (Ongoing Charges Figure) is the AMC, plus any additional (and variable) manager fee as at 31 March 2019.</w:t>
      </w:r>
    </w:p>
  </w:footnote>
  <w:footnote w:id="3">
    <w:p w:rsidR="00406560" w:rsidRPr="00C72269" w:rsidRDefault="00406560" w:rsidP="00503D15">
      <w:pPr>
        <w:pStyle w:val="FootnoteText"/>
        <w:rPr>
          <w:lang w:val="en-US"/>
        </w:rPr>
      </w:pPr>
      <w:r>
        <w:rPr>
          <w:rStyle w:val="FootnoteReference"/>
        </w:rPr>
        <w:footnoteRef/>
      </w:r>
      <w:r>
        <w:t xml:space="preserve"> </w:t>
      </w:r>
      <w:r w:rsidRPr="00C72269">
        <w:t xml:space="preserve">AMC (Annual Management Charge) is the platform charge as at 31 March 2019. </w:t>
      </w:r>
    </w:p>
  </w:footnote>
  <w:footnote w:id="4">
    <w:p w:rsidR="00406560" w:rsidRPr="00C72269" w:rsidRDefault="00406560" w:rsidP="00503D15">
      <w:pPr>
        <w:pStyle w:val="FootnoteText"/>
        <w:rPr>
          <w:lang w:val="en-US"/>
        </w:rPr>
      </w:pPr>
      <w:r>
        <w:rPr>
          <w:rStyle w:val="FootnoteReference"/>
        </w:rPr>
        <w:footnoteRef/>
      </w:r>
      <w:r>
        <w:t xml:space="preserve"> </w:t>
      </w:r>
      <w:r w:rsidRPr="00C72269">
        <w:t>OCF (Ongoing Charges Figure) is the AMC, plus any additional (and variable) manager fee as at 31 March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60" w:rsidRDefault="00406560">
    <w:pPr>
      <w:pStyle w:val="Header"/>
    </w:pPr>
    <w:r w:rsidRPr="00406560">
      <w:t>I CalaChem Pension Fund (DC 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C8281B62"/>
    <w:lvl w:ilvl="0">
      <w:start w:val="1"/>
      <w:numFmt w:val="decimal"/>
      <w:pStyle w:val="Level1"/>
      <w:lvlText w:val="%1"/>
      <w:lvlJc w:val="left"/>
      <w:pPr>
        <w:tabs>
          <w:tab w:val="num" w:pos="851"/>
        </w:tabs>
        <w:ind w:left="851" w:hanging="851"/>
      </w:pPr>
      <w:rPr>
        <w:rFonts w:hint="default"/>
        <w:b w:val="0"/>
        <w:i w:val="0"/>
        <w:caps w:val="0"/>
        <w:smallCaps w:val="0"/>
        <w:strike w:val="0"/>
        <w:dstrike w:val="0"/>
        <w:vanish w:val="0"/>
        <w:color w:val="A6A6A6" w:themeColor="background1" w:themeShade="A6"/>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hint="default"/>
        <w:b w:val="0"/>
        <w:i w:val="0"/>
        <w:caps w:val="0"/>
        <w:smallCaps w:val="0"/>
        <w:strike w:val="0"/>
        <w:dstrike w:val="0"/>
        <w:vanish w:val="0"/>
        <w:color w:val="A6A6A6" w:themeColor="background1" w:themeShade="A6"/>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evel3"/>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7C"/>
    <w:multiLevelType w:val="singleLevel"/>
    <w:tmpl w:val="28025718"/>
    <w:lvl w:ilvl="0">
      <w:start w:val="1"/>
      <w:numFmt w:val="decimal"/>
      <w:lvlText w:val="%1."/>
      <w:lvlJc w:val="left"/>
      <w:pPr>
        <w:tabs>
          <w:tab w:val="num" w:pos="1492"/>
        </w:tabs>
        <w:ind w:left="1492" w:hanging="360"/>
      </w:pPr>
    </w:lvl>
  </w:abstractNum>
  <w:abstractNum w:abstractNumId="4">
    <w:nsid w:val="FFFFFF7D"/>
    <w:multiLevelType w:val="singleLevel"/>
    <w:tmpl w:val="47120938"/>
    <w:lvl w:ilvl="0">
      <w:start w:val="1"/>
      <w:numFmt w:val="decimal"/>
      <w:lvlText w:val="%1."/>
      <w:lvlJc w:val="left"/>
      <w:pPr>
        <w:tabs>
          <w:tab w:val="num" w:pos="1209"/>
        </w:tabs>
        <w:ind w:left="1209" w:hanging="360"/>
      </w:pPr>
    </w:lvl>
  </w:abstractNum>
  <w:abstractNum w:abstractNumId="5">
    <w:nsid w:val="FFFFFF7E"/>
    <w:multiLevelType w:val="singleLevel"/>
    <w:tmpl w:val="5FC09F9E"/>
    <w:lvl w:ilvl="0">
      <w:start w:val="1"/>
      <w:numFmt w:val="decimal"/>
      <w:lvlText w:val="%1."/>
      <w:lvlJc w:val="left"/>
      <w:pPr>
        <w:tabs>
          <w:tab w:val="num" w:pos="926"/>
        </w:tabs>
        <w:ind w:left="926" w:hanging="360"/>
      </w:pPr>
    </w:lvl>
  </w:abstractNum>
  <w:abstractNum w:abstractNumId="6">
    <w:nsid w:val="FFFFFF7F"/>
    <w:multiLevelType w:val="singleLevel"/>
    <w:tmpl w:val="81505ABC"/>
    <w:lvl w:ilvl="0">
      <w:start w:val="1"/>
      <w:numFmt w:val="decimal"/>
      <w:lvlText w:val="%1."/>
      <w:lvlJc w:val="left"/>
      <w:pPr>
        <w:tabs>
          <w:tab w:val="num" w:pos="643"/>
        </w:tabs>
        <w:ind w:left="643" w:hanging="360"/>
      </w:pPr>
    </w:lvl>
  </w:abstractNum>
  <w:abstractNum w:abstractNumId="7">
    <w:nsid w:val="FFFFFF80"/>
    <w:multiLevelType w:val="singleLevel"/>
    <w:tmpl w:val="13DAE07C"/>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F65A5C42"/>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62B0586C"/>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82A0D816"/>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A1B080E8"/>
    <w:lvl w:ilvl="0">
      <w:start w:val="1"/>
      <w:numFmt w:val="decimal"/>
      <w:lvlText w:val="%1."/>
      <w:lvlJc w:val="left"/>
      <w:pPr>
        <w:tabs>
          <w:tab w:val="num" w:pos="360"/>
        </w:tabs>
        <w:ind w:left="360" w:hanging="360"/>
      </w:pPr>
    </w:lvl>
  </w:abstractNum>
  <w:abstractNum w:abstractNumId="12">
    <w:nsid w:val="FFFFFF89"/>
    <w:multiLevelType w:val="singleLevel"/>
    <w:tmpl w:val="989AC64A"/>
    <w:lvl w:ilvl="0">
      <w:start w:val="1"/>
      <w:numFmt w:val="bullet"/>
      <w:lvlText w:val=""/>
      <w:lvlJc w:val="left"/>
      <w:pPr>
        <w:tabs>
          <w:tab w:val="num" w:pos="360"/>
        </w:tabs>
        <w:ind w:left="360" w:hanging="360"/>
      </w:pPr>
      <w:rPr>
        <w:rFonts w:ascii="Symbol" w:hAnsi="Symbol" w:hint="default"/>
      </w:rPr>
    </w:lvl>
  </w:abstractNum>
  <w:abstractNum w:abstractNumId="1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F137913"/>
    <w:multiLevelType w:val="multilevel"/>
    <w:tmpl w:val="2C260F4A"/>
    <w:lvl w:ilvl="0">
      <w:start w:val="1"/>
      <w:numFmt w:val="decimal"/>
      <w:lvlText w:val="7.%1"/>
      <w:lvlJc w:val="left"/>
      <w:rPr>
        <w:rFonts w:ascii="Arial" w:eastAsia="Arial" w:hAnsi="Arial" w:cs="Arial"/>
        <w:b w:val="0"/>
        <w:bCs w:val="0"/>
        <w:i w:val="0"/>
        <w:iCs w:val="0"/>
        <w:smallCaps w:val="0"/>
        <w:strike w:val="0"/>
        <w:color w:val="6F7261"/>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F9004C"/>
    <w:multiLevelType w:val="multilevel"/>
    <w:tmpl w:val="2660B2F0"/>
    <w:lvl w:ilvl="0">
      <w:start w:val="1"/>
      <w:numFmt w:val="decimal"/>
      <w:lvlText w:val="6.%1"/>
      <w:lvlJc w:val="left"/>
      <w:rPr>
        <w:rFonts w:ascii="Arial" w:eastAsia="Arial" w:hAnsi="Arial" w:cs="Arial"/>
        <w:b w:val="0"/>
        <w:bCs w:val="0"/>
        <w:i w:val="0"/>
        <w:iCs w:val="0"/>
        <w:smallCaps w:val="0"/>
        <w:strike w:val="0"/>
        <w:color w:val="6F7261"/>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4767788F"/>
    <w:multiLevelType w:val="multilevel"/>
    <w:tmpl w:val="8BD883A0"/>
    <w:lvl w:ilvl="0">
      <w:start w:val="1"/>
      <w:numFmt w:val="decimal"/>
      <w:lvlText w:val="4.%1"/>
      <w:lvlJc w:val="left"/>
      <w:rPr>
        <w:rFonts w:ascii="Arial" w:eastAsia="Arial" w:hAnsi="Arial" w:cs="Arial"/>
        <w:b w:val="0"/>
        <w:bCs w:val="0"/>
        <w:i w:val="0"/>
        <w:iCs w:val="0"/>
        <w:smallCaps w:val="0"/>
        <w:strike w:val="0"/>
        <w:color w:val="6F7261"/>
        <w:spacing w:val="0"/>
        <w:w w:val="100"/>
        <w:position w:val="0"/>
        <w:sz w:val="26"/>
        <w:szCs w:val="26"/>
        <w:u w:val="none"/>
        <w:lang w:val="en-GB"/>
      </w:rPr>
    </w:lvl>
    <w:lvl w:ilvl="1">
      <w:start w:val="1"/>
      <w:numFmt w:val="upperRoman"/>
      <w:lvlText w:val="%2."/>
      <w:lvlJc w:val="left"/>
      <w:rPr>
        <w:rFonts w:ascii="Arial" w:eastAsia="Arial" w:hAnsi="Arial" w:cs="Arial"/>
        <w:b/>
        <w:bCs/>
        <w:i w:val="0"/>
        <w:iCs w:val="0"/>
        <w:smallCaps w:val="0"/>
        <w:strike w:val="0"/>
        <w:color w:val="434642"/>
        <w:spacing w:val="0"/>
        <w:w w:val="100"/>
        <w:position w:val="0"/>
        <w:sz w:val="17"/>
        <w:szCs w:val="17"/>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25B5C56"/>
    <w:multiLevelType w:val="multilevel"/>
    <w:tmpl w:val="1C3ED83C"/>
    <w:lvl w:ilvl="0">
      <w:start w:val="1"/>
      <w:numFmt w:val="lowerRoman"/>
      <w:lvlText w:val="%1."/>
      <w:lvlJc w:val="left"/>
      <w:rPr>
        <w:rFonts w:ascii="Arial" w:eastAsia="Arial" w:hAnsi="Arial" w:cs="Arial"/>
        <w:b w:val="0"/>
        <w:bCs w:val="0"/>
        <w:i w:val="0"/>
        <w:iCs w:val="0"/>
        <w:smallCaps w:val="0"/>
        <w:strike w:val="0"/>
        <w:color w:val="434642"/>
        <w:spacing w:val="0"/>
        <w:w w:val="100"/>
        <w:position w:val="0"/>
        <w:sz w:val="17"/>
        <w:szCs w:val="17"/>
        <w:u w:val="none"/>
        <w:lang w:val="en-GB"/>
      </w:rPr>
    </w:lvl>
    <w:lvl w:ilvl="1">
      <w:start w:val="1"/>
      <w:numFmt w:val="lowerRoman"/>
      <w:lvlText w:val="%2."/>
      <w:lvlJc w:val="left"/>
      <w:rPr>
        <w:rFonts w:ascii="Arial" w:eastAsia="Arial" w:hAnsi="Arial" w:cs="Arial"/>
        <w:b w:val="0"/>
        <w:bCs w:val="0"/>
        <w:i w:val="0"/>
        <w:iCs w:val="0"/>
        <w:smallCaps w:val="0"/>
        <w:strike w:val="0"/>
        <w:color w:val="000000"/>
        <w:spacing w:val="0"/>
        <w:w w:val="100"/>
        <w:position w:val="0"/>
        <w:sz w:val="17"/>
        <w:szCs w:val="17"/>
        <w:u w:val="none"/>
        <w:lang w:val="en-GB"/>
      </w:rPr>
    </w:lvl>
    <w:lvl w:ilvl="2">
      <w:start w:val="1"/>
      <w:numFmt w:val="lowerRoman"/>
      <w:lvlText w:val="%3."/>
      <w:lvlJc w:val="left"/>
      <w:rPr>
        <w:rFonts w:ascii="Arial" w:eastAsia="Arial" w:hAnsi="Arial" w:cs="Arial"/>
        <w:b w:val="0"/>
        <w:bCs w:val="0"/>
        <w:i w:val="0"/>
        <w:iCs w:val="0"/>
        <w:smallCaps w:val="0"/>
        <w:strike w:val="0"/>
        <w:color w:val="434642"/>
        <w:spacing w:val="0"/>
        <w:w w:val="100"/>
        <w:position w:val="0"/>
        <w:sz w:val="17"/>
        <w:szCs w:val="17"/>
        <w:u w:val="none"/>
        <w:lang w:val="en-G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82454E"/>
    <w:multiLevelType w:val="multilevel"/>
    <w:tmpl w:val="FFC84CE8"/>
    <w:lvl w:ilvl="0">
      <w:start w:val="1"/>
      <w:numFmt w:val="decimal"/>
      <w:lvlText w:val="8.%1"/>
      <w:lvlJc w:val="left"/>
      <w:rPr>
        <w:rFonts w:ascii="Arial" w:eastAsia="Arial" w:hAnsi="Arial" w:cs="Arial"/>
        <w:b w:val="0"/>
        <w:bCs w:val="0"/>
        <w:i w:val="0"/>
        <w:iCs w:val="0"/>
        <w:smallCaps w:val="0"/>
        <w:strike w:val="0"/>
        <w:color w:val="6F7261"/>
        <w:spacing w:val="0"/>
        <w:w w:val="100"/>
        <w:position w:val="0"/>
        <w:sz w:val="26"/>
        <w:szCs w:val="26"/>
        <w:u w:val="none"/>
        <w:lang w:val="en-GB"/>
      </w:rPr>
    </w:lvl>
    <w:lvl w:ilvl="1">
      <w:start w:val="1"/>
      <w:numFmt w:val="lowerRoman"/>
      <w:lvlText w:val="%2."/>
      <w:lvlJc w:val="left"/>
      <w:rPr>
        <w:rFonts w:ascii="Arial" w:eastAsia="Arial" w:hAnsi="Arial" w:cs="Arial"/>
        <w:b w:val="0"/>
        <w:bCs w:val="0"/>
        <w:i w:val="0"/>
        <w:iCs w:val="0"/>
        <w:smallCaps w:val="0"/>
        <w:strike w:val="0"/>
        <w:color w:val="434642"/>
        <w:spacing w:val="0"/>
        <w:w w:val="100"/>
        <w:position w:val="0"/>
        <w:sz w:val="17"/>
        <w:szCs w:val="17"/>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14"/>
  </w:num>
  <w:num w:numId="4">
    <w:abstractNumId w:val="20"/>
  </w:num>
  <w:num w:numId="5">
    <w:abstractNumId w:val="19"/>
  </w:num>
  <w:num w:numId="6">
    <w:abstractNumId w:val="16"/>
  </w:num>
  <w:num w:numId="7">
    <w:abstractNumId w:val="1"/>
  </w:num>
  <w:num w:numId="8">
    <w:abstractNumId w:val="1"/>
  </w:num>
  <w:num w:numId="9">
    <w:abstractNumId w:val="1"/>
  </w:num>
  <w:num w:numId="10">
    <w:abstractNumId w:val="1"/>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16"/>
  </w:num>
  <w:num w:numId="19">
    <w:abstractNumId w:val="16"/>
  </w:num>
  <w:num w:numId="20">
    <w:abstractNumId w:val="13"/>
  </w:num>
  <w:num w:numId="21">
    <w:abstractNumId w:val="18"/>
  </w:num>
  <w:num w:numId="22">
    <w:abstractNumId w:val="18"/>
  </w:num>
  <w:num w:numId="23">
    <w:abstractNumId w:val="18"/>
  </w:num>
  <w:num w:numId="24">
    <w:abstractNumId w:val="18"/>
  </w:num>
  <w:num w:numId="25">
    <w:abstractNumId w:val="18"/>
  </w:num>
  <w:num w:numId="26">
    <w:abstractNumId w:val="12"/>
  </w:num>
  <w:num w:numId="27">
    <w:abstractNumId w:val="10"/>
  </w:num>
  <w:num w:numId="28">
    <w:abstractNumId w:val="9"/>
  </w:num>
  <w:num w:numId="29">
    <w:abstractNumId w:val="8"/>
  </w:num>
  <w:num w:numId="30">
    <w:abstractNumId w:val="7"/>
  </w:num>
  <w:num w:numId="31">
    <w:abstractNumId w:val="11"/>
  </w:num>
  <w:num w:numId="32">
    <w:abstractNumId w:val="6"/>
  </w:num>
  <w:num w:numId="33">
    <w:abstractNumId w:val="5"/>
  </w:num>
  <w:num w:numId="34">
    <w:abstractNumId w:val="4"/>
  </w:num>
  <w:num w:numId="35">
    <w:abstractNumId w:val="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characterSpacingControl w:val="compressPunctuation"/>
  <w:hdrShapeDefaults>
    <o:shapedefaults v:ext="edit" spidmax="2123"/>
  </w:hdrShapeDefaults>
  <w:footnotePr>
    <w:footnote w:id="-1"/>
    <w:footnote w:id="0"/>
  </w:footnotePr>
  <w:endnotePr>
    <w:endnote w:id="-1"/>
    <w:endnote w:id="0"/>
  </w:endnotePr>
  <w:compat>
    <w:doNotExpandShiftReturn/>
    <w:compatSetting w:name="compatibilityMode" w:uri="http://schemas.microsoft.com/office/word" w:val="12"/>
  </w:compat>
  <w:docVars>
    <w:docVar w:name="PIM_Brand" w:val="D9"/>
  </w:docVars>
  <w:rsids>
    <w:rsidRoot w:val="00542443"/>
    <w:rsid w:val="00083615"/>
    <w:rsid w:val="000C452A"/>
    <w:rsid w:val="00112DE1"/>
    <w:rsid w:val="00266B67"/>
    <w:rsid w:val="002A3367"/>
    <w:rsid w:val="002D7638"/>
    <w:rsid w:val="003B3F05"/>
    <w:rsid w:val="00406560"/>
    <w:rsid w:val="004B25FC"/>
    <w:rsid w:val="00503D15"/>
    <w:rsid w:val="00525F43"/>
    <w:rsid w:val="00532FE5"/>
    <w:rsid w:val="00540102"/>
    <w:rsid w:val="00542443"/>
    <w:rsid w:val="00632B29"/>
    <w:rsid w:val="0067690E"/>
    <w:rsid w:val="007615A3"/>
    <w:rsid w:val="00821397"/>
    <w:rsid w:val="0082312F"/>
    <w:rsid w:val="0089538C"/>
    <w:rsid w:val="008A29E4"/>
    <w:rsid w:val="00955D4E"/>
    <w:rsid w:val="009C7E43"/>
    <w:rsid w:val="00B5663A"/>
    <w:rsid w:val="00B91271"/>
    <w:rsid w:val="00C13A3C"/>
    <w:rsid w:val="00C72269"/>
    <w:rsid w:val="00C8785C"/>
    <w:rsid w:val="00D257CB"/>
    <w:rsid w:val="00DB6556"/>
    <w:rsid w:val="00E01799"/>
    <w:rsid w:val="00E03522"/>
    <w:rsid w:val="00E7475A"/>
    <w:rsid w:val="00EC52AE"/>
    <w:rsid w:val="00F22781"/>
    <w:rsid w:val="00F8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2A"/>
    <w:pPr>
      <w:widowControl/>
      <w:jc w:val="both"/>
    </w:pPr>
    <w:rPr>
      <w:rFonts w:ascii="Arial" w:hAnsi="Arial" w:cstheme="minorBid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14"/>
      <w:szCs w:val="14"/>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pacing w:val="10"/>
      <w:sz w:val="36"/>
      <w:szCs w:val="36"/>
      <w:u w:val="none"/>
    </w:rPr>
  </w:style>
  <w:style w:type="character" w:customStyle="1" w:styleId="Heading11">
    <w:name w:val="Heading #1"/>
    <w:basedOn w:val="Heading1"/>
    <w:rPr>
      <w:rFonts w:ascii="Arial" w:eastAsia="Arial" w:hAnsi="Arial" w:cs="Arial"/>
      <w:b w:val="0"/>
      <w:bCs w:val="0"/>
      <w:i w:val="0"/>
      <w:iCs w:val="0"/>
      <w:smallCaps w:val="0"/>
      <w:strike w:val="0"/>
      <w:color w:val="6F7261"/>
      <w:spacing w:val="10"/>
      <w:w w:val="100"/>
      <w:position w:val="0"/>
      <w:sz w:val="36"/>
      <w:szCs w:val="36"/>
      <w:u w:val="none"/>
      <w:lang w:val="en-GB"/>
    </w:rPr>
  </w:style>
  <w:style w:type="character" w:customStyle="1" w:styleId="Headerorfooter">
    <w:name w:val="Header or footer_"/>
    <w:basedOn w:val="DefaultParagraphFont"/>
    <w:link w:val="Headerorfooter0"/>
    <w:rPr>
      <w:b w:val="0"/>
      <w:bCs w:val="0"/>
      <w:i w:val="0"/>
      <w:iCs w:val="0"/>
      <w:smallCaps w:val="0"/>
      <w:strike w:val="0"/>
      <w:sz w:val="20"/>
      <w:szCs w:val="20"/>
      <w:u w:val="none"/>
    </w:rPr>
  </w:style>
  <w:style w:type="character" w:customStyle="1" w:styleId="HeaderorfooterArial">
    <w:name w:val="Header or footer + Arial"/>
    <w:aliases w:val="6.5 pt"/>
    <w:basedOn w:val="Headerorfooter"/>
    <w:rPr>
      <w:rFonts w:ascii="Arial" w:eastAsia="Arial" w:hAnsi="Arial" w:cs="Arial"/>
      <w:b w:val="0"/>
      <w:bCs w:val="0"/>
      <w:i w:val="0"/>
      <w:iCs w:val="0"/>
      <w:smallCaps w:val="0"/>
      <w:strike w:val="0"/>
      <w:color w:val="000000"/>
      <w:spacing w:val="0"/>
      <w:w w:val="100"/>
      <w:position w:val="0"/>
      <w:sz w:val="13"/>
      <w:szCs w:val="13"/>
      <w:u w:val="none"/>
      <w:lang w:val="en-GB"/>
    </w:rPr>
  </w:style>
  <w:style w:type="character" w:customStyle="1" w:styleId="Bodytext">
    <w:name w:val="Body text_"/>
    <w:basedOn w:val="DefaultParagraphFont"/>
    <w:link w:val="BodyText4"/>
    <w:rPr>
      <w:rFonts w:ascii="Arial" w:eastAsia="Arial" w:hAnsi="Arial" w:cs="Arial"/>
      <w:b w:val="0"/>
      <w:bCs w:val="0"/>
      <w:i w:val="0"/>
      <w:iCs w:val="0"/>
      <w:smallCaps w:val="0"/>
      <w:strike w:val="0"/>
      <w:sz w:val="17"/>
      <w:szCs w:val="17"/>
      <w:u w:val="none"/>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17"/>
      <w:szCs w:val="17"/>
      <w:u w:val="none"/>
      <w:lang w:val="en-GB"/>
    </w:rPr>
  </w:style>
  <w:style w:type="character" w:customStyle="1" w:styleId="Bodytext65pt">
    <w:name w:val="Body text + 6.5 pt"/>
    <w:aliases w:val="Italic"/>
    <w:basedOn w:val="Bodytext"/>
    <w:rPr>
      <w:rFonts w:ascii="Arial" w:eastAsia="Arial" w:hAnsi="Arial" w:cs="Arial"/>
      <w:b w:val="0"/>
      <w:bCs w:val="0"/>
      <w:i/>
      <w:iCs/>
      <w:smallCaps w:val="0"/>
      <w:strike w:val="0"/>
      <w:color w:val="000000"/>
      <w:spacing w:val="0"/>
      <w:w w:val="100"/>
      <w:position w:val="0"/>
      <w:sz w:val="13"/>
      <w:szCs w:val="13"/>
      <w:u w:val="none"/>
      <w:lang w:val="en-GB"/>
    </w:rPr>
  </w:style>
  <w:style w:type="character" w:customStyle="1" w:styleId="Heading2">
    <w:name w:val="Heading #2_"/>
    <w:basedOn w:val="DefaultParagraphFont"/>
    <w:link w:val="Heading20"/>
    <w:rPr>
      <w:rFonts w:ascii="Arial" w:eastAsia="Arial" w:hAnsi="Arial" w:cs="Arial"/>
      <w:b w:val="0"/>
      <w:bCs w:val="0"/>
      <w:i w:val="0"/>
      <w:iCs w:val="0"/>
      <w:smallCaps w:val="0"/>
      <w:strike w:val="0"/>
      <w:sz w:val="26"/>
      <w:szCs w:val="26"/>
      <w:u w:val="none"/>
    </w:rPr>
  </w:style>
  <w:style w:type="character" w:customStyle="1" w:styleId="Heading2Bold">
    <w:name w:val="Heading #2 + Bold"/>
    <w:basedOn w:val="Heading2"/>
    <w:rPr>
      <w:rFonts w:ascii="Arial" w:eastAsia="Arial" w:hAnsi="Arial" w:cs="Arial"/>
      <w:b/>
      <w:bCs/>
      <w:i w:val="0"/>
      <w:iCs w:val="0"/>
      <w:smallCaps w:val="0"/>
      <w:strike w:val="0"/>
      <w:color w:val="6F7261"/>
      <w:spacing w:val="0"/>
      <w:w w:val="100"/>
      <w:position w:val="0"/>
      <w:sz w:val="26"/>
      <w:szCs w:val="26"/>
      <w:u w:val="none"/>
      <w:lang w:val="en-GB"/>
    </w:rPr>
  </w:style>
  <w:style w:type="character" w:customStyle="1" w:styleId="Heading21">
    <w:name w:val="Heading #2"/>
    <w:basedOn w:val="Heading2"/>
    <w:rPr>
      <w:rFonts w:ascii="Arial" w:eastAsia="Arial" w:hAnsi="Arial" w:cs="Arial"/>
      <w:b w:val="0"/>
      <w:bCs w:val="0"/>
      <w:i w:val="0"/>
      <w:iCs w:val="0"/>
      <w:smallCaps w:val="0"/>
      <w:strike w:val="0"/>
      <w:color w:val="6F7261"/>
      <w:spacing w:val="0"/>
      <w:w w:val="100"/>
      <w:position w:val="0"/>
      <w:sz w:val="26"/>
      <w:szCs w:val="26"/>
      <w:u w:val="none"/>
      <w:lang w:val="en-GB"/>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z w:val="17"/>
      <w:szCs w:val="17"/>
      <w:u w:val="none"/>
    </w:rPr>
  </w:style>
  <w:style w:type="character" w:customStyle="1" w:styleId="Heading12">
    <w:name w:val="Heading #1"/>
    <w:basedOn w:val="Heading1"/>
    <w:rPr>
      <w:rFonts w:ascii="Arial" w:eastAsia="Arial" w:hAnsi="Arial" w:cs="Arial"/>
      <w:b w:val="0"/>
      <w:bCs w:val="0"/>
      <w:i w:val="0"/>
      <w:iCs w:val="0"/>
      <w:smallCaps w:val="0"/>
      <w:strike w:val="0"/>
      <w:color w:val="6F7261"/>
      <w:spacing w:val="10"/>
      <w:w w:val="100"/>
      <w:position w:val="0"/>
      <w:sz w:val="36"/>
      <w:szCs w:val="36"/>
      <w:u w:val="none"/>
      <w:lang w:val="en-GB"/>
    </w:rPr>
  </w:style>
  <w:style w:type="character" w:customStyle="1" w:styleId="HeaderorfooterArial0">
    <w:name w:val="Header or footer + Arial"/>
    <w:aliases w:val="6.5 pt"/>
    <w:basedOn w:val="Headerorfooter"/>
    <w:rPr>
      <w:rFonts w:ascii="Arial" w:eastAsia="Arial" w:hAnsi="Arial" w:cs="Arial"/>
      <w:b w:val="0"/>
      <w:bCs w:val="0"/>
      <w:i w:val="0"/>
      <w:iCs w:val="0"/>
      <w:smallCaps w:val="0"/>
      <w:strike w:val="0"/>
      <w:color w:val="434642"/>
      <w:spacing w:val="0"/>
      <w:w w:val="100"/>
      <w:position w:val="0"/>
      <w:sz w:val="13"/>
      <w:szCs w:val="13"/>
      <w:u w:val="none"/>
      <w:lang w:val="en-GB"/>
    </w:rPr>
  </w:style>
  <w:style w:type="character" w:customStyle="1" w:styleId="BodytextBold0">
    <w:name w:val="Body text + Bold"/>
    <w:basedOn w:val="Bodytext"/>
    <w:rPr>
      <w:rFonts w:ascii="Arial" w:eastAsia="Arial" w:hAnsi="Arial" w:cs="Arial"/>
      <w:b/>
      <w:bCs/>
      <w:i w:val="0"/>
      <w:iCs w:val="0"/>
      <w:smallCaps w:val="0"/>
      <w:strike w:val="0"/>
      <w:color w:val="000000"/>
      <w:spacing w:val="0"/>
      <w:w w:val="100"/>
      <w:position w:val="0"/>
      <w:sz w:val="17"/>
      <w:szCs w:val="17"/>
      <w:u w:val="none"/>
      <w:lang w:val="en-GB"/>
    </w:rPr>
  </w:style>
  <w:style w:type="character" w:customStyle="1" w:styleId="Heading13">
    <w:name w:val="Heading #1"/>
    <w:basedOn w:val="Heading1"/>
    <w:rPr>
      <w:rFonts w:ascii="Arial" w:eastAsia="Arial" w:hAnsi="Arial" w:cs="Arial"/>
      <w:b w:val="0"/>
      <w:bCs w:val="0"/>
      <w:i w:val="0"/>
      <w:iCs w:val="0"/>
      <w:smallCaps w:val="0"/>
      <w:strike w:val="0"/>
      <w:color w:val="6F7261"/>
      <w:spacing w:val="10"/>
      <w:w w:val="100"/>
      <w:position w:val="0"/>
      <w:sz w:val="36"/>
      <w:szCs w:val="36"/>
      <w:u w:val="none"/>
      <w:lang w:val="en-GB"/>
    </w:rPr>
  </w:style>
  <w:style w:type="character" w:customStyle="1" w:styleId="BodyText1">
    <w:name w:val="Body Text1"/>
    <w:basedOn w:val="Bodytext"/>
    <w:rPr>
      <w:rFonts w:ascii="Arial" w:eastAsia="Arial" w:hAnsi="Arial" w:cs="Arial"/>
      <w:b w:val="0"/>
      <w:bCs w:val="0"/>
      <w:i w:val="0"/>
      <w:iCs w:val="0"/>
      <w:smallCaps w:val="0"/>
      <w:strike w:val="0"/>
      <w:color w:val="434642"/>
      <w:spacing w:val="0"/>
      <w:w w:val="100"/>
      <w:position w:val="0"/>
      <w:sz w:val="17"/>
      <w:szCs w:val="17"/>
      <w:u w:val="none"/>
      <w:lang w:val="en-GB"/>
    </w:rPr>
  </w:style>
  <w:style w:type="character" w:customStyle="1" w:styleId="Heading14">
    <w:name w:val="Heading #1"/>
    <w:basedOn w:val="Heading1"/>
    <w:rPr>
      <w:rFonts w:ascii="Arial" w:eastAsia="Arial" w:hAnsi="Arial" w:cs="Arial"/>
      <w:b w:val="0"/>
      <w:bCs w:val="0"/>
      <w:i w:val="0"/>
      <w:iCs w:val="0"/>
      <w:smallCaps w:val="0"/>
      <w:strike w:val="0"/>
      <w:color w:val="6F7261"/>
      <w:spacing w:val="10"/>
      <w:w w:val="100"/>
      <w:position w:val="0"/>
      <w:sz w:val="36"/>
      <w:szCs w:val="36"/>
      <w:u w:val="none"/>
      <w:lang w:val="en-GB"/>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6"/>
      <w:szCs w:val="26"/>
      <w:u w:val="none"/>
    </w:rPr>
  </w:style>
  <w:style w:type="character" w:customStyle="1" w:styleId="Bodytext21">
    <w:name w:val="Body text (2)"/>
    <w:basedOn w:val="Bodytext2"/>
    <w:rPr>
      <w:rFonts w:ascii="Arial" w:eastAsia="Arial" w:hAnsi="Arial" w:cs="Arial"/>
      <w:b w:val="0"/>
      <w:bCs w:val="0"/>
      <w:i w:val="0"/>
      <w:iCs w:val="0"/>
      <w:smallCaps w:val="0"/>
      <w:strike w:val="0"/>
      <w:color w:val="6F7261"/>
      <w:spacing w:val="0"/>
      <w:w w:val="100"/>
      <w:position w:val="0"/>
      <w:sz w:val="26"/>
      <w:szCs w:val="26"/>
      <w:u w:val="none"/>
      <w:lang w:val="en-GB"/>
    </w:rPr>
  </w:style>
  <w:style w:type="character" w:customStyle="1" w:styleId="BodytextBold1">
    <w:name w:val="Body text + Bold"/>
    <w:basedOn w:val="Bodytext"/>
    <w:rPr>
      <w:rFonts w:ascii="Arial" w:eastAsia="Arial" w:hAnsi="Arial" w:cs="Arial"/>
      <w:b/>
      <w:bCs/>
      <w:i w:val="0"/>
      <w:iCs w:val="0"/>
      <w:smallCaps w:val="0"/>
      <w:strike w:val="0"/>
      <w:color w:val="000000"/>
      <w:spacing w:val="0"/>
      <w:w w:val="100"/>
      <w:position w:val="0"/>
      <w:sz w:val="17"/>
      <w:szCs w:val="17"/>
      <w:u w:val="none"/>
      <w:lang w:val="en-GB"/>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rPr>
  </w:style>
  <w:style w:type="character" w:customStyle="1" w:styleId="Bodytext31">
    <w:name w:val="Body text (3)"/>
    <w:basedOn w:val="Bodytext3"/>
    <w:rPr>
      <w:rFonts w:ascii="Arial" w:eastAsia="Arial" w:hAnsi="Arial" w:cs="Arial"/>
      <w:b w:val="0"/>
      <w:bCs w:val="0"/>
      <w:i w:val="0"/>
      <w:iCs w:val="0"/>
      <w:smallCaps w:val="0"/>
      <w:strike w:val="0"/>
      <w:color w:val="6F7261"/>
      <w:spacing w:val="0"/>
      <w:w w:val="100"/>
      <w:position w:val="0"/>
      <w:sz w:val="17"/>
      <w:szCs w:val="17"/>
      <w:u w:val="none"/>
      <w:lang w:val="en-GB"/>
    </w:rPr>
  </w:style>
  <w:style w:type="character" w:customStyle="1" w:styleId="Bodytext32">
    <w:name w:val="Body text (3)"/>
    <w:basedOn w:val="Bodytext3"/>
    <w:rPr>
      <w:rFonts w:ascii="Arial" w:eastAsia="Arial" w:hAnsi="Arial" w:cs="Arial"/>
      <w:b w:val="0"/>
      <w:bCs w:val="0"/>
      <w:i w:val="0"/>
      <w:iCs w:val="0"/>
      <w:smallCaps w:val="0"/>
      <w:strike w:val="0"/>
      <w:color w:val="434642"/>
      <w:spacing w:val="0"/>
      <w:w w:val="100"/>
      <w:position w:val="0"/>
      <w:sz w:val="17"/>
      <w:szCs w:val="17"/>
      <w:u w:val="none"/>
      <w:lang w:val="en-GB"/>
    </w:rPr>
  </w:style>
  <w:style w:type="character" w:customStyle="1" w:styleId="HeaderorfooterArial1">
    <w:name w:val="Header or footer + Arial"/>
    <w:aliases w:val="6.5 pt,Spacing 0 pt"/>
    <w:basedOn w:val="Headerorfooter"/>
    <w:rPr>
      <w:rFonts w:ascii="Arial" w:eastAsia="Arial" w:hAnsi="Arial" w:cs="Arial"/>
      <w:b w:val="0"/>
      <w:bCs w:val="0"/>
      <w:i w:val="0"/>
      <w:iCs w:val="0"/>
      <w:smallCaps w:val="0"/>
      <w:strike w:val="0"/>
      <w:color w:val="000000"/>
      <w:spacing w:val="-10"/>
      <w:w w:val="100"/>
      <w:position w:val="0"/>
      <w:sz w:val="13"/>
      <w:szCs w:val="13"/>
      <w:u w:val="none"/>
      <w:lang w:val="en-GB"/>
    </w:rPr>
  </w:style>
  <w:style w:type="character" w:customStyle="1" w:styleId="Bodytext40">
    <w:name w:val="Body text (4)_"/>
    <w:basedOn w:val="DefaultParagraphFont"/>
    <w:link w:val="Bodytext41"/>
    <w:rPr>
      <w:rFonts w:ascii="Arial" w:eastAsia="Arial" w:hAnsi="Arial" w:cs="Arial"/>
      <w:b w:val="0"/>
      <w:bCs w:val="0"/>
      <w:i w:val="0"/>
      <w:iCs w:val="0"/>
      <w:smallCaps w:val="0"/>
      <w:strike w:val="0"/>
      <w:spacing w:val="10"/>
      <w:sz w:val="36"/>
      <w:szCs w:val="36"/>
      <w:u w:val="none"/>
    </w:rPr>
  </w:style>
  <w:style w:type="character" w:customStyle="1" w:styleId="Bodytext42">
    <w:name w:val="Body text (4)"/>
    <w:basedOn w:val="Bodytext40"/>
    <w:rPr>
      <w:rFonts w:ascii="Arial" w:eastAsia="Arial" w:hAnsi="Arial" w:cs="Arial"/>
      <w:b w:val="0"/>
      <w:bCs w:val="0"/>
      <w:i w:val="0"/>
      <w:iCs w:val="0"/>
      <w:smallCaps w:val="0"/>
      <w:strike w:val="0"/>
      <w:color w:val="434642"/>
      <w:spacing w:val="10"/>
      <w:w w:val="100"/>
      <w:position w:val="0"/>
      <w:sz w:val="36"/>
      <w:szCs w:val="36"/>
      <w:u w:val="none"/>
      <w:lang w:val="en-GB"/>
    </w:rPr>
  </w:style>
  <w:style w:type="character" w:customStyle="1" w:styleId="BodytextBold2">
    <w:name w:val="Body text + Bold"/>
    <w:basedOn w:val="Bodytext"/>
    <w:rPr>
      <w:rFonts w:ascii="Arial" w:eastAsia="Arial" w:hAnsi="Arial" w:cs="Arial"/>
      <w:b/>
      <w:bCs/>
      <w:i w:val="0"/>
      <w:iCs w:val="0"/>
      <w:smallCaps w:val="0"/>
      <w:strike w:val="0"/>
      <w:color w:val="000000"/>
      <w:spacing w:val="0"/>
      <w:w w:val="100"/>
      <w:position w:val="0"/>
      <w:sz w:val="17"/>
      <w:szCs w:val="17"/>
      <w:u w:val="none"/>
      <w:lang w:val="en-GB"/>
    </w:rPr>
  </w:style>
  <w:style w:type="character" w:customStyle="1" w:styleId="Heading22">
    <w:name w:val="Heading #2"/>
    <w:basedOn w:val="Heading2"/>
    <w:rPr>
      <w:rFonts w:ascii="Arial" w:eastAsia="Arial" w:hAnsi="Arial" w:cs="Arial"/>
      <w:b w:val="0"/>
      <w:bCs w:val="0"/>
      <w:i w:val="0"/>
      <w:iCs w:val="0"/>
      <w:smallCaps w:val="0"/>
      <w:strike w:val="0"/>
      <w:color w:val="434642"/>
      <w:spacing w:val="0"/>
      <w:w w:val="100"/>
      <w:position w:val="0"/>
      <w:sz w:val="26"/>
      <w:szCs w:val="26"/>
      <w:u w:val="none"/>
      <w:lang w:val="en-GB"/>
    </w:rPr>
  </w:style>
  <w:style w:type="character" w:customStyle="1" w:styleId="Heading23">
    <w:name w:val="Heading #2"/>
    <w:basedOn w:val="Heading2"/>
    <w:rPr>
      <w:rFonts w:ascii="Arial" w:eastAsia="Arial" w:hAnsi="Arial" w:cs="Arial"/>
      <w:b w:val="0"/>
      <w:bCs w:val="0"/>
      <w:i w:val="0"/>
      <w:iCs w:val="0"/>
      <w:smallCaps w:val="0"/>
      <w:strike w:val="0"/>
      <w:color w:val="6F7261"/>
      <w:spacing w:val="0"/>
      <w:w w:val="100"/>
      <w:position w:val="0"/>
      <w:sz w:val="26"/>
      <w:szCs w:val="26"/>
      <w:u w:val="none"/>
      <w:lang w:val="en-GB"/>
    </w:rPr>
  </w:style>
  <w:style w:type="character" w:customStyle="1" w:styleId="Heading24">
    <w:name w:val="Heading #2"/>
    <w:basedOn w:val="Heading2"/>
    <w:rPr>
      <w:rFonts w:ascii="Arial" w:eastAsia="Arial" w:hAnsi="Arial" w:cs="Arial"/>
      <w:b w:val="0"/>
      <w:bCs w:val="0"/>
      <w:i w:val="0"/>
      <w:iCs w:val="0"/>
      <w:smallCaps w:val="0"/>
      <w:strike w:val="0"/>
      <w:color w:val="6F7261"/>
      <w:spacing w:val="0"/>
      <w:w w:val="100"/>
      <w:position w:val="0"/>
      <w:sz w:val="26"/>
      <w:szCs w:val="26"/>
      <w:u w:val="none"/>
      <w:lang w:val="en-GB"/>
    </w:rPr>
  </w:style>
  <w:style w:type="character" w:customStyle="1" w:styleId="Heading15">
    <w:name w:val="Heading #1"/>
    <w:basedOn w:val="Heading1"/>
    <w:rPr>
      <w:rFonts w:ascii="Arial" w:eastAsia="Arial" w:hAnsi="Arial" w:cs="Arial"/>
      <w:b w:val="0"/>
      <w:bCs w:val="0"/>
      <w:i w:val="0"/>
      <w:iCs w:val="0"/>
      <w:smallCaps w:val="0"/>
      <w:strike w:val="0"/>
      <w:color w:val="6F7261"/>
      <w:spacing w:val="10"/>
      <w:w w:val="100"/>
      <w:position w:val="0"/>
      <w:sz w:val="36"/>
      <w:szCs w:val="36"/>
      <w:u w:val="none"/>
      <w:lang w:val="en-GB"/>
    </w:rPr>
  </w:style>
  <w:style w:type="character" w:customStyle="1" w:styleId="BodytextBold3">
    <w:name w:val="Body text + Bold"/>
    <w:basedOn w:val="Bodytext"/>
    <w:rPr>
      <w:rFonts w:ascii="Arial" w:eastAsia="Arial" w:hAnsi="Arial" w:cs="Arial"/>
      <w:b/>
      <w:bCs/>
      <w:i w:val="0"/>
      <w:iCs w:val="0"/>
      <w:smallCaps w:val="0"/>
      <w:strike w:val="0"/>
      <w:color w:val="000000"/>
      <w:spacing w:val="0"/>
      <w:w w:val="100"/>
      <w:position w:val="0"/>
      <w:sz w:val="17"/>
      <w:szCs w:val="17"/>
      <w:u w:val="none"/>
      <w:lang w:val="en-GB"/>
    </w:rPr>
  </w:style>
  <w:style w:type="character" w:customStyle="1" w:styleId="Heading25">
    <w:name w:val="Heading #2"/>
    <w:basedOn w:val="Heading2"/>
    <w:rPr>
      <w:rFonts w:ascii="Arial" w:eastAsia="Arial" w:hAnsi="Arial" w:cs="Arial"/>
      <w:b w:val="0"/>
      <w:bCs w:val="0"/>
      <w:i w:val="0"/>
      <w:iCs w:val="0"/>
      <w:smallCaps w:val="0"/>
      <w:strike w:val="0"/>
      <w:color w:val="6F7261"/>
      <w:spacing w:val="0"/>
      <w:w w:val="100"/>
      <w:position w:val="0"/>
      <w:sz w:val="26"/>
      <w:szCs w:val="26"/>
      <w:u w:val="none"/>
      <w:lang w:val="en-GB"/>
    </w:rPr>
  </w:style>
  <w:style w:type="character" w:customStyle="1" w:styleId="Heading26">
    <w:name w:val="Heading #2"/>
    <w:basedOn w:val="Heading2"/>
    <w:rPr>
      <w:rFonts w:ascii="Arial" w:eastAsia="Arial" w:hAnsi="Arial" w:cs="Arial"/>
      <w:b w:val="0"/>
      <w:bCs w:val="0"/>
      <w:i w:val="0"/>
      <w:iCs w:val="0"/>
      <w:smallCaps w:val="0"/>
      <w:strike w:val="0"/>
      <w:color w:val="434642"/>
      <w:spacing w:val="0"/>
      <w:w w:val="100"/>
      <w:position w:val="0"/>
      <w:sz w:val="26"/>
      <w:szCs w:val="26"/>
      <w:u w:val="none"/>
      <w:lang w:val="en-GB"/>
    </w:rPr>
  </w:style>
  <w:style w:type="character" w:customStyle="1" w:styleId="Heading16">
    <w:name w:val="Heading #1"/>
    <w:basedOn w:val="Heading1"/>
    <w:rPr>
      <w:rFonts w:ascii="Arial" w:eastAsia="Arial" w:hAnsi="Arial" w:cs="Arial"/>
      <w:b w:val="0"/>
      <w:bCs w:val="0"/>
      <w:i w:val="0"/>
      <w:iCs w:val="0"/>
      <w:smallCaps w:val="0"/>
      <w:strike w:val="0"/>
      <w:color w:val="6F7261"/>
      <w:spacing w:val="10"/>
      <w:w w:val="100"/>
      <w:position w:val="0"/>
      <w:sz w:val="36"/>
      <w:szCs w:val="36"/>
      <w:u w:val="none"/>
      <w:lang w:val="en-GB"/>
    </w:rPr>
  </w:style>
  <w:style w:type="character" w:customStyle="1" w:styleId="Heading27">
    <w:name w:val="Heading #2"/>
    <w:basedOn w:val="Heading2"/>
    <w:rPr>
      <w:rFonts w:ascii="Arial" w:eastAsia="Arial" w:hAnsi="Arial" w:cs="Arial"/>
      <w:b w:val="0"/>
      <w:bCs w:val="0"/>
      <w:i w:val="0"/>
      <w:iCs w:val="0"/>
      <w:smallCaps w:val="0"/>
      <w:strike w:val="0"/>
      <w:color w:val="6F7261"/>
      <w:spacing w:val="0"/>
      <w:w w:val="100"/>
      <w:position w:val="0"/>
      <w:sz w:val="26"/>
      <w:szCs w:val="26"/>
      <w:u w:val="none"/>
      <w:lang w:val="en-GB"/>
    </w:rPr>
  </w:style>
  <w:style w:type="character" w:customStyle="1" w:styleId="BodyText22">
    <w:name w:val="Body Text2"/>
    <w:basedOn w:val="Bodytext"/>
    <w:rPr>
      <w:rFonts w:ascii="Arial" w:eastAsia="Arial" w:hAnsi="Arial" w:cs="Arial"/>
      <w:b w:val="0"/>
      <w:bCs w:val="0"/>
      <w:i w:val="0"/>
      <w:iCs w:val="0"/>
      <w:smallCaps w:val="0"/>
      <w:strike w:val="0"/>
      <w:color w:val="434642"/>
      <w:spacing w:val="0"/>
      <w:w w:val="100"/>
      <w:position w:val="0"/>
      <w:sz w:val="17"/>
      <w:szCs w:val="17"/>
      <w:u w:val="none"/>
      <w:lang w:val="en-GB"/>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3"/>
      <w:szCs w:val="13"/>
      <w:u w:val="none"/>
    </w:rPr>
  </w:style>
  <w:style w:type="character" w:customStyle="1" w:styleId="Bodytext51">
    <w:name w:val="Body text (5)"/>
    <w:basedOn w:val="Bodytext5"/>
    <w:rPr>
      <w:rFonts w:ascii="Arial" w:eastAsia="Arial" w:hAnsi="Arial" w:cs="Arial"/>
      <w:b w:val="0"/>
      <w:bCs w:val="0"/>
      <w:i w:val="0"/>
      <w:iCs w:val="0"/>
      <w:smallCaps w:val="0"/>
      <w:strike w:val="0"/>
      <w:color w:val="434642"/>
      <w:spacing w:val="0"/>
      <w:w w:val="100"/>
      <w:position w:val="0"/>
      <w:sz w:val="13"/>
      <w:szCs w:val="13"/>
      <w:u w:val="none"/>
      <w:lang w:val="en-GB"/>
    </w:rPr>
  </w:style>
  <w:style w:type="character" w:customStyle="1" w:styleId="Heading120">
    <w:name w:val="Heading #1 (2)_"/>
    <w:basedOn w:val="DefaultParagraphFont"/>
    <w:link w:val="Heading121"/>
    <w:rPr>
      <w:rFonts w:ascii="Arial" w:eastAsia="Arial" w:hAnsi="Arial" w:cs="Arial"/>
      <w:b w:val="0"/>
      <w:bCs w:val="0"/>
      <w:i w:val="0"/>
      <w:iCs w:val="0"/>
      <w:smallCaps w:val="0"/>
      <w:strike w:val="0"/>
      <w:spacing w:val="10"/>
      <w:sz w:val="36"/>
      <w:szCs w:val="36"/>
      <w:u w:val="none"/>
    </w:rPr>
  </w:style>
  <w:style w:type="character" w:customStyle="1" w:styleId="Heading122">
    <w:name w:val="Heading #1 (2)"/>
    <w:basedOn w:val="Heading120"/>
    <w:rPr>
      <w:rFonts w:ascii="Arial" w:eastAsia="Arial" w:hAnsi="Arial" w:cs="Arial"/>
      <w:b w:val="0"/>
      <w:bCs w:val="0"/>
      <w:i w:val="0"/>
      <w:iCs w:val="0"/>
      <w:smallCaps w:val="0"/>
      <w:strike w:val="0"/>
      <w:color w:val="6F7261"/>
      <w:spacing w:val="10"/>
      <w:w w:val="100"/>
      <w:position w:val="0"/>
      <w:sz w:val="36"/>
      <w:szCs w:val="36"/>
      <w:u w:val="none"/>
      <w:lang w:val="en-GB"/>
    </w:rPr>
  </w:style>
  <w:style w:type="character" w:customStyle="1" w:styleId="HeaderorfooterArial2">
    <w:name w:val="Header or footer + Arial"/>
    <w:aliases w:val="5.5 pt,Spacing 0 pt"/>
    <w:basedOn w:val="Headerorfooter"/>
    <w:rPr>
      <w:rFonts w:ascii="Arial" w:eastAsia="Arial" w:hAnsi="Arial" w:cs="Arial"/>
      <w:b w:val="0"/>
      <w:bCs w:val="0"/>
      <w:i w:val="0"/>
      <w:iCs w:val="0"/>
      <w:smallCaps w:val="0"/>
      <w:strike w:val="0"/>
      <w:color w:val="434642"/>
      <w:spacing w:val="-10"/>
      <w:w w:val="100"/>
      <w:position w:val="0"/>
      <w:sz w:val="11"/>
      <w:szCs w:val="11"/>
      <w:u w:val="none"/>
      <w:lang w:val="en-GB"/>
    </w:rPr>
  </w:style>
  <w:style w:type="character" w:customStyle="1" w:styleId="Heading52">
    <w:name w:val="Heading #5 (2)_"/>
    <w:basedOn w:val="DefaultParagraphFont"/>
    <w:link w:val="Heading520"/>
    <w:rPr>
      <w:rFonts w:ascii="Arial" w:eastAsia="Arial" w:hAnsi="Arial" w:cs="Arial"/>
      <w:b w:val="0"/>
      <w:bCs w:val="0"/>
      <w:i w:val="0"/>
      <w:iCs w:val="0"/>
      <w:smallCaps w:val="0"/>
      <w:strike w:val="0"/>
      <w:sz w:val="26"/>
      <w:szCs w:val="26"/>
      <w:u w:val="none"/>
    </w:rPr>
  </w:style>
  <w:style w:type="character" w:customStyle="1" w:styleId="Heading521">
    <w:name w:val="Heading #5 (2)"/>
    <w:basedOn w:val="Heading52"/>
    <w:rPr>
      <w:rFonts w:ascii="Arial" w:eastAsia="Arial" w:hAnsi="Arial" w:cs="Arial"/>
      <w:b w:val="0"/>
      <w:bCs w:val="0"/>
      <w:i w:val="0"/>
      <w:iCs w:val="0"/>
      <w:smallCaps w:val="0"/>
      <w:strike w:val="0"/>
      <w:color w:val="6F7261"/>
      <w:spacing w:val="0"/>
      <w:w w:val="100"/>
      <w:position w:val="0"/>
      <w:sz w:val="26"/>
      <w:szCs w:val="26"/>
      <w:u w:val="none"/>
      <w:lang w:val="en-GB"/>
    </w:rPr>
  </w:style>
  <w:style w:type="character" w:customStyle="1" w:styleId="Heading52NotBold">
    <w:name w:val="Heading #5 (2) + Not Bold"/>
    <w:basedOn w:val="Heading52"/>
    <w:rPr>
      <w:rFonts w:ascii="Arial" w:eastAsia="Arial" w:hAnsi="Arial" w:cs="Arial"/>
      <w:b/>
      <w:bCs/>
      <w:i w:val="0"/>
      <w:iCs w:val="0"/>
      <w:smallCaps w:val="0"/>
      <w:strike w:val="0"/>
      <w:color w:val="6F7261"/>
      <w:spacing w:val="0"/>
      <w:w w:val="100"/>
      <w:position w:val="0"/>
      <w:sz w:val="26"/>
      <w:szCs w:val="26"/>
      <w:u w:val="none"/>
      <w:lang w:val="en-GB"/>
    </w:rPr>
  </w:style>
  <w:style w:type="character" w:customStyle="1" w:styleId="Heading5">
    <w:name w:val="Heading #5_"/>
    <w:basedOn w:val="DefaultParagraphFont"/>
    <w:link w:val="Heading50"/>
    <w:rPr>
      <w:rFonts w:ascii="Arial" w:eastAsia="Arial" w:hAnsi="Arial" w:cs="Arial"/>
      <w:b w:val="0"/>
      <w:bCs w:val="0"/>
      <w:i w:val="0"/>
      <w:iCs w:val="0"/>
      <w:smallCaps w:val="0"/>
      <w:strike w:val="0"/>
      <w:sz w:val="26"/>
      <w:szCs w:val="26"/>
      <w:u w:val="none"/>
    </w:rPr>
  </w:style>
  <w:style w:type="character" w:customStyle="1" w:styleId="Heading5Spacing-1pt">
    <w:name w:val="Heading #5 + Spacing -1 pt"/>
    <w:basedOn w:val="Heading5"/>
    <w:rPr>
      <w:rFonts w:ascii="Arial" w:eastAsia="Arial" w:hAnsi="Arial" w:cs="Arial"/>
      <w:b w:val="0"/>
      <w:bCs w:val="0"/>
      <w:i w:val="0"/>
      <w:iCs w:val="0"/>
      <w:smallCaps w:val="0"/>
      <w:strike w:val="0"/>
      <w:color w:val="6F7261"/>
      <w:spacing w:val="-20"/>
      <w:w w:val="100"/>
      <w:position w:val="0"/>
      <w:sz w:val="26"/>
      <w:szCs w:val="26"/>
      <w:u w:val="none"/>
      <w:lang w:val="en-GB"/>
    </w:rPr>
  </w:style>
  <w:style w:type="character" w:customStyle="1" w:styleId="Heading3">
    <w:name w:val="Heading #3_"/>
    <w:basedOn w:val="DefaultParagraphFont"/>
    <w:link w:val="Heading30"/>
    <w:rPr>
      <w:rFonts w:ascii="Arial" w:eastAsia="Arial" w:hAnsi="Arial" w:cs="Arial"/>
      <w:b w:val="0"/>
      <w:bCs w:val="0"/>
      <w:i w:val="0"/>
      <w:iCs w:val="0"/>
      <w:smallCaps w:val="0"/>
      <w:strike w:val="0"/>
      <w:spacing w:val="10"/>
      <w:sz w:val="36"/>
      <w:szCs w:val="36"/>
      <w:u w:val="none"/>
    </w:rPr>
  </w:style>
  <w:style w:type="character" w:customStyle="1" w:styleId="Heading3Spacing0pt">
    <w:name w:val="Heading #3 + Spacing 0 pt"/>
    <w:basedOn w:val="Heading3"/>
    <w:rPr>
      <w:rFonts w:ascii="Arial" w:eastAsia="Arial" w:hAnsi="Arial" w:cs="Arial"/>
      <w:b w:val="0"/>
      <w:bCs w:val="0"/>
      <w:i w:val="0"/>
      <w:iCs w:val="0"/>
      <w:smallCaps w:val="0"/>
      <w:strike w:val="0"/>
      <w:color w:val="6F7261"/>
      <w:spacing w:val="0"/>
      <w:w w:val="100"/>
      <w:position w:val="0"/>
      <w:sz w:val="36"/>
      <w:szCs w:val="36"/>
      <w:u w:val="none"/>
      <w:lang w:val="en-GB"/>
    </w:rPr>
  </w:style>
  <w:style w:type="character" w:customStyle="1" w:styleId="HeaderorfooterArial3">
    <w:name w:val="Header or footer + Arial"/>
    <w:aliases w:val="Spacing 1 pt,Scaling 20%"/>
    <w:basedOn w:val="Headerorfooter"/>
    <w:rPr>
      <w:rFonts w:ascii="Arial" w:eastAsia="Arial" w:hAnsi="Arial" w:cs="Arial"/>
      <w:b w:val="0"/>
      <w:bCs w:val="0"/>
      <w:i w:val="0"/>
      <w:iCs w:val="0"/>
      <w:smallCaps w:val="0"/>
      <w:strike w:val="0"/>
      <w:color w:val="434642"/>
      <w:spacing w:val="20"/>
      <w:w w:val="20"/>
      <w:position w:val="0"/>
      <w:sz w:val="20"/>
      <w:szCs w:val="20"/>
      <w:u w:val="none"/>
      <w:lang w:val="en-GB"/>
    </w:rPr>
  </w:style>
  <w:style w:type="character" w:customStyle="1" w:styleId="BodytextBold4">
    <w:name w:val="Body text + Bold"/>
    <w:basedOn w:val="Bodytext"/>
    <w:rPr>
      <w:rFonts w:ascii="Arial" w:eastAsia="Arial" w:hAnsi="Arial" w:cs="Arial"/>
      <w:b/>
      <w:bCs/>
      <w:i w:val="0"/>
      <w:iCs w:val="0"/>
      <w:smallCaps w:val="0"/>
      <w:strike w:val="0"/>
      <w:color w:val="000000"/>
      <w:spacing w:val="0"/>
      <w:w w:val="100"/>
      <w:position w:val="0"/>
      <w:sz w:val="17"/>
      <w:szCs w:val="17"/>
      <w:u w:val="none"/>
      <w:lang w:val="en-GB"/>
    </w:rPr>
  </w:style>
  <w:style w:type="character" w:customStyle="1" w:styleId="BodyText33">
    <w:name w:val="Body Text3"/>
    <w:basedOn w:val="Bodytext"/>
    <w:rPr>
      <w:rFonts w:ascii="Arial" w:eastAsia="Arial" w:hAnsi="Arial" w:cs="Arial"/>
      <w:b w:val="0"/>
      <w:bCs w:val="0"/>
      <w:i w:val="0"/>
      <w:iCs w:val="0"/>
      <w:smallCaps w:val="0"/>
      <w:strike w:val="0"/>
      <w:color w:val="6F7261"/>
      <w:spacing w:val="0"/>
      <w:w w:val="100"/>
      <w:position w:val="0"/>
      <w:sz w:val="17"/>
      <w:szCs w:val="17"/>
      <w:u w:val="none"/>
      <w:lang w:val="en-GB"/>
    </w:rPr>
  </w:style>
  <w:style w:type="character" w:customStyle="1" w:styleId="Heading230">
    <w:name w:val="Heading #2 (3)_"/>
    <w:basedOn w:val="DefaultParagraphFont"/>
    <w:link w:val="Heading231"/>
    <w:rPr>
      <w:rFonts w:ascii="Arial" w:eastAsia="Arial" w:hAnsi="Arial" w:cs="Arial"/>
      <w:b w:val="0"/>
      <w:bCs w:val="0"/>
      <w:i w:val="0"/>
      <w:iCs w:val="0"/>
      <w:smallCaps w:val="0"/>
      <w:strike w:val="0"/>
      <w:spacing w:val="10"/>
      <w:sz w:val="36"/>
      <w:szCs w:val="36"/>
      <w:u w:val="none"/>
    </w:rPr>
  </w:style>
  <w:style w:type="character" w:customStyle="1" w:styleId="Heading23Spacing0pt">
    <w:name w:val="Heading #2 (3) + Spacing 0 pt"/>
    <w:basedOn w:val="Heading230"/>
    <w:rPr>
      <w:rFonts w:ascii="Arial" w:eastAsia="Arial" w:hAnsi="Arial" w:cs="Arial"/>
      <w:b w:val="0"/>
      <w:bCs w:val="0"/>
      <w:i w:val="0"/>
      <w:iCs w:val="0"/>
      <w:smallCaps w:val="0"/>
      <w:strike w:val="0"/>
      <w:color w:val="6F7261"/>
      <w:spacing w:val="0"/>
      <w:w w:val="100"/>
      <w:position w:val="0"/>
      <w:sz w:val="36"/>
      <w:szCs w:val="36"/>
      <w:u w:val="none"/>
      <w:lang w:val="en-GB"/>
    </w:rPr>
  </w:style>
  <w:style w:type="character" w:customStyle="1" w:styleId="Heading5Spacing-1pt0">
    <w:name w:val="Heading #5 + Spacing -1 pt"/>
    <w:basedOn w:val="Heading5"/>
    <w:rPr>
      <w:rFonts w:ascii="Arial" w:eastAsia="Arial" w:hAnsi="Arial" w:cs="Arial"/>
      <w:b w:val="0"/>
      <w:bCs w:val="0"/>
      <w:i w:val="0"/>
      <w:iCs w:val="0"/>
      <w:smallCaps w:val="0"/>
      <w:strike w:val="0"/>
      <w:color w:val="6F7261"/>
      <w:spacing w:val="-20"/>
      <w:w w:val="100"/>
      <w:position w:val="0"/>
      <w:sz w:val="26"/>
      <w:szCs w:val="26"/>
      <w:u w:val="none"/>
      <w:lang w:val="en-GB"/>
    </w:rPr>
  </w:style>
  <w:style w:type="character" w:customStyle="1" w:styleId="Heading5Bold">
    <w:name w:val="Heading #5 + Bold"/>
    <w:basedOn w:val="Heading5"/>
    <w:rPr>
      <w:rFonts w:ascii="Arial" w:eastAsia="Arial" w:hAnsi="Arial" w:cs="Arial"/>
      <w:b/>
      <w:bCs/>
      <w:i w:val="0"/>
      <w:iCs w:val="0"/>
      <w:smallCaps w:val="0"/>
      <w:strike w:val="0"/>
      <w:color w:val="6F7261"/>
      <w:spacing w:val="0"/>
      <w:w w:val="100"/>
      <w:position w:val="0"/>
      <w:sz w:val="26"/>
      <w:szCs w:val="26"/>
      <w:u w:val="none"/>
      <w:lang w:val="en-GB"/>
    </w:rPr>
  </w:style>
  <w:style w:type="character" w:customStyle="1" w:styleId="Heading51">
    <w:name w:val="Heading #5"/>
    <w:basedOn w:val="Heading5"/>
    <w:rPr>
      <w:rFonts w:ascii="Arial" w:eastAsia="Arial" w:hAnsi="Arial" w:cs="Arial"/>
      <w:b w:val="0"/>
      <w:bCs w:val="0"/>
      <w:i w:val="0"/>
      <w:iCs w:val="0"/>
      <w:smallCaps w:val="0"/>
      <w:strike w:val="0"/>
      <w:color w:val="6F7261"/>
      <w:spacing w:val="0"/>
      <w:w w:val="100"/>
      <w:position w:val="0"/>
      <w:sz w:val="26"/>
      <w:szCs w:val="26"/>
      <w:u w:val="none"/>
      <w:lang w:val="en-GB"/>
    </w:rPr>
  </w:style>
  <w:style w:type="character" w:customStyle="1" w:styleId="Heading4">
    <w:name w:val="Heading #4_"/>
    <w:basedOn w:val="DefaultParagraphFont"/>
    <w:link w:val="Heading40"/>
    <w:rPr>
      <w:rFonts w:ascii="Arial" w:eastAsia="Arial" w:hAnsi="Arial" w:cs="Arial"/>
      <w:b w:val="0"/>
      <w:bCs w:val="0"/>
      <w:i w:val="0"/>
      <w:iCs w:val="0"/>
      <w:smallCaps w:val="0"/>
      <w:strike w:val="0"/>
      <w:spacing w:val="10"/>
      <w:sz w:val="30"/>
      <w:szCs w:val="30"/>
      <w:u w:val="none"/>
    </w:rPr>
  </w:style>
  <w:style w:type="character" w:customStyle="1" w:styleId="Heading41">
    <w:name w:val="Heading #4"/>
    <w:basedOn w:val="Heading4"/>
    <w:rPr>
      <w:rFonts w:ascii="Arial" w:eastAsia="Arial" w:hAnsi="Arial" w:cs="Arial"/>
      <w:b w:val="0"/>
      <w:bCs w:val="0"/>
      <w:i w:val="0"/>
      <w:iCs w:val="0"/>
      <w:smallCaps w:val="0"/>
      <w:strike w:val="0"/>
      <w:color w:val="6F7261"/>
      <w:spacing w:val="10"/>
      <w:w w:val="100"/>
      <w:position w:val="0"/>
      <w:sz w:val="30"/>
      <w:szCs w:val="30"/>
      <w:u w:val="none"/>
      <w:lang w:val="en-GB"/>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26"/>
      <w:szCs w:val="26"/>
      <w:u w:val="none"/>
      <w:lang w:val="en-GB"/>
    </w:rPr>
  </w:style>
  <w:style w:type="character" w:customStyle="1" w:styleId="Heading53">
    <w:name w:val="Heading #5"/>
    <w:basedOn w:val="Heading5"/>
    <w:rPr>
      <w:rFonts w:ascii="Arial" w:eastAsia="Arial" w:hAnsi="Arial" w:cs="Arial"/>
      <w:b w:val="0"/>
      <w:bCs w:val="0"/>
      <w:i w:val="0"/>
      <w:iCs w:val="0"/>
      <w:smallCaps w:val="0"/>
      <w:strike w:val="0"/>
      <w:color w:val="000000"/>
      <w:spacing w:val="0"/>
      <w:w w:val="100"/>
      <w:position w:val="0"/>
      <w:sz w:val="26"/>
      <w:szCs w:val="26"/>
      <w:u w:val="none"/>
      <w:lang w:val="en-GB"/>
    </w:rPr>
  </w:style>
  <w:style w:type="character" w:customStyle="1" w:styleId="Bodytext5Exact">
    <w:name w:val="Body text (5) Exact"/>
    <w:basedOn w:val="DefaultParagraphFont"/>
    <w:rPr>
      <w:rFonts w:ascii="Arial" w:eastAsia="Arial" w:hAnsi="Arial" w:cs="Arial"/>
      <w:b w:val="0"/>
      <w:bCs w:val="0"/>
      <w:i w:val="0"/>
      <w:iCs w:val="0"/>
      <w:smallCaps w:val="0"/>
      <w:strike w:val="0"/>
      <w:spacing w:val="-6"/>
      <w:sz w:val="13"/>
      <w:szCs w:val="13"/>
      <w:u w:val="none"/>
    </w:rPr>
  </w:style>
  <w:style w:type="character" w:customStyle="1" w:styleId="Bodytext5Spacing0ptExact">
    <w:name w:val="Body text (5) + Spacing 0 pt Exact"/>
    <w:basedOn w:val="Bodytext5"/>
    <w:rPr>
      <w:rFonts w:ascii="Arial" w:eastAsia="Arial" w:hAnsi="Arial" w:cs="Arial"/>
      <w:b w:val="0"/>
      <w:bCs w:val="0"/>
      <w:i w:val="0"/>
      <w:iCs w:val="0"/>
      <w:smallCaps w:val="0"/>
      <w:strike w:val="0"/>
      <w:color w:val="000000"/>
      <w:spacing w:val="5"/>
      <w:w w:val="100"/>
      <w:position w:val="0"/>
      <w:sz w:val="13"/>
      <w:szCs w:val="13"/>
      <w:u w:val="none"/>
      <w:lang w:val="en-GB"/>
    </w:rPr>
  </w:style>
  <w:style w:type="character" w:customStyle="1" w:styleId="Bodytext7Exact">
    <w:name w:val="Body text (7) Exact"/>
    <w:basedOn w:val="DefaultParagraphFont"/>
    <w:rPr>
      <w:rFonts w:ascii="Arial" w:eastAsia="Arial" w:hAnsi="Arial" w:cs="Arial"/>
      <w:b w:val="0"/>
      <w:bCs w:val="0"/>
      <w:i w:val="0"/>
      <w:iCs w:val="0"/>
      <w:smallCaps w:val="0"/>
      <w:strike w:val="0"/>
      <w:sz w:val="13"/>
      <w:szCs w:val="13"/>
      <w:u w:val="none"/>
    </w:rPr>
  </w:style>
  <w:style w:type="character" w:customStyle="1" w:styleId="Bodytext8Exact">
    <w:name w:val="Body text (8) Exact"/>
    <w:basedOn w:val="DefaultParagraphFont"/>
    <w:link w:val="Bodytext8"/>
    <w:rPr>
      <w:rFonts w:ascii="Arial" w:eastAsia="Arial" w:hAnsi="Arial" w:cs="Arial"/>
      <w:b w:val="0"/>
      <w:bCs w:val="0"/>
      <w:i w:val="0"/>
      <w:iCs w:val="0"/>
      <w:smallCaps w:val="0"/>
      <w:strike w:val="0"/>
      <w:spacing w:val="-8"/>
      <w:sz w:val="8"/>
      <w:szCs w:val="8"/>
      <w:u w:val="none"/>
    </w:rPr>
  </w:style>
  <w:style w:type="character" w:customStyle="1" w:styleId="Bodytext8Exact0">
    <w:name w:val="Body text (8) Exact"/>
    <w:basedOn w:val="Bodytext8Exact"/>
    <w:rPr>
      <w:rFonts w:ascii="Arial" w:eastAsia="Arial" w:hAnsi="Arial" w:cs="Arial"/>
      <w:b w:val="0"/>
      <w:bCs w:val="0"/>
      <w:i w:val="0"/>
      <w:iCs w:val="0"/>
      <w:smallCaps w:val="0"/>
      <w:strike w:val="0"/>
      <w:color w:val="6F7261"/>
      <w:spacing w:val="-8"/>
      <w:w w:val="100"/>
      <w:position w:val="0"/>
      <w:sz w:val="8"/>
      <w:szCs w:val="8"/>
      <w:u w:val="none"/>
      <w:lang w:val="en-GB"/>
    </w:rPr>
  </w:style>
  <w:style w:type="character" w:customStyle="1" w:styleId="Bodytext8Exact1">
    <w:name w:val="Body text (8) Exact"/>
    <w:basedOn w:val="Bodytext8Exact"/>
    <w:rPr>
      <w:rFonts w:ascii="Arial" w:eastAsia="Arial" w:hAnsi="Arial" w:cs="Arial"/>
      <w:b w:val="0"/>
      <w:bCs w:val="0"/>
      <w:i w:val="0"/>
      <w:iCs w:val="0"/>
      <w:smallCaps w:val="0"/>
      <w:strike w:val="0"/>
      <w:color w:val="434642"/>
      <w:spacing w:val="-8"/>
      <w:w w:val="100"/>
      <w:position w:val="0"/>
      <w:sz w:val="8"/>
      <w:szCs w:val="8"/>
      <w:u w:val="none"/>
      <w:lang w:val="en-GB"/>
    </w:rPr>
  </w:style>
  <w:style w:type="character" w:customStyle="1" w:styleId="Bodytext9Exact">
    <w:name w:val="Body text (9) Exact"/>
    <w:basedOn w:val="DefaultParagraphFont"/>
    <w:link w:val="Bodytext9"/>
    <w:rPr>
      <w:rFonts w:ascii="Arial" w:eastAsia="Arial" w:hAnsi="Arial" w:cs="Arial"/>
      <w:b w:val="0"/>
      <w:bCs w:val="0"/>
      <w:i w:val="0"/>
      <w:iCs w:val="0"/>
      <w:smallCaps w:val="0"/>
      <w:strike w:val="0"/>
      <w:spacing w:val="16"/>
      <w:sz w:val="28"/>
      <w:szCs w:val="28"/>
      <w:u w:val="none"/>
    </w:rPr>
  </w:style>
  <w:style w:type="character" w:customStyle="1" w:styleId="Bodytext9Exact0">
    <w:name w:val="Body text (9) Exact"/>
    <w:basedOn w:val="Bodytext9Exact"/>
    <w:rPr>
      <w:rFonts w:ascii="Arial" w:eastAsia="Arial" w:hAnsi="Arial" w:cs="Arial"/>
      <w:b w:val="0"/>
      <w:bCs w:val="0"/>
      <w:i w:val="0"/>
      <w:iCs w:val="0"/>
      <w:smallCaps w:val="0"/>
      <w:strike w:val="0"/>
      <w:color w:val="6F7261"/>
      <w:spacing w:val="16"/>
      <w:w w:val="100"/>
      <w:position w:val="0"/>
      <w:sz w:val="28"/>
      <w:szCs w:val="28"/>
      <w:u w:val="none"/>
      <w:lang w:val="en-GB"/>
    </w:rPr>
  </w:style>
  <w:style w:type="character" w:customStyle="1" w:styleId="BodytextExact">
    <w:name w:val="Body text Exact"/>
    <w:basedOn w:val="DefaultParagraphFont"/>
    <w:rPr>
      <w:rFonts w:ascii="Arial" w:eastAsia="Arial" w:hAnsi="Arial" w:cs="Arial"/>
      <w:b w:val="0"/>
      <w:bCs w:val="0"/>
      <w:i w:val="0"/>
      <w:iCs w:val="0"/>
      <w:smallCaps w:val="0"/>
      <w:strike w:val="0"/>
      <w:spacing w:val="7"/>
      <w:sz w:val="16"/>
      <w:szCs w:val="16"/>
      <w:u w:val="none"/>
    </w:rPr>
  </w:style>
  <w:style w:type="character" w:customStyle="1" w:styleId="BodytextExact0">
    <w:name w:val="Body text Exact"/>
    <w:basedOn w:val="Bodytext"/>
    <w:rPr>
      <w:rFonts w:ascii="Arial" w:eastAsia="Arial" w:hAnsi="Arial" w:cs="Arial"/>
      <w:b w:val="0"/>
      <w:bCs w:val="0"/>
      <w:i w:val="0"/>
      <w:iCs w:val="0"/>
      <w:smallCaps w:val="0"/>
      <w:strike w:val="0"/>
      <w:color w:val="434642"/>
      <w:spacing w:val="7"/>
      <w:w w:val="100"/>
      <w:position w:val="0"/>
      <w:sz w:val="16"/>
      <w:szCs w:val="16"/>
      <w:u w:val="none"/>
      <w:lang w:val="en-GB"/>
    </w:rPr>
  </w:style>
  <w:style w:type="character" w:customStyle="1" w:styleId="Bodytext2Exact">
    <w:name w:val="Body text (2) Exact"/>
    <w:basedOn w:val="DefaultParagraphFont"/>
    <w:rPr>
      <w:rFonts w:ascii="Arial" w:eastAsia="Arial" w:hAnsi="Arial" w:cs="Arial"/>
      <w:b w:val="0"/>
      <w:bCs w:val="0"/>
      <w:i w:val="0"/>
      <w:iCs w:val="0"/>
      <w:smallCaps w:val="0"/>
      <w:strike w:val="0"/>
      <w:spacing w:val="4"/>
      <w:sz w:val="26"/>
      <w:szCs w:val="26"/>
      <w:u w:val="none"/>
    </w:rPr>
  </w:style>
  <w:style w:type="character" w:customStyle="1" w:styleId="Bodytext2Spacing0ptExact">
    <w:name w:val="Body text (2) + Spacing 0 pt Exact"/>
    <w:basedOn w:val="Bodytext2"/>
    <w:rPr>
      <w:rFonts w:ascii="Arial" w:eastAsia="Arial" w:hAnsi="Arial" w:cs="Arial"/>
      <w:b w:val="0"/>
      <w:bCs w:val="0"/>
      <w:i w:val="0"/>
      <w:iCs w:val="0"/>
      <w:smallCaps w:val="0"/>
      <w:strike w:val="0"/>
      <w:color w:val="000000"/>
      <w:spacing w:val="7"/>
      <w:w w:val="100"/>
      <w:position w:val="0"/>
      <w:sz w:val="26"/>
      <w:szCs w:val="26"/>
      <w:u w:val="none"/>
      <w:lang w:val="en-GB"/>
    </w:rPr>
  </w:style>
  <w:style w:type="character" w:customStyle="1" w:styleId="BodytextSpacing0ptExact">
    <w:name w:val="Body text + Spacing 0 pt Exact"/>
    <w:basedOn w:val="Bodytext"/>
    <w:rPr>
      <w:rFonts w:ascii="Arial" w:eastAsia="Arial" w:hAnsi="Arial" w:cs="Arial"/>
      <w:b w:val="0"/>
      <w:bCs w:val="0"/>
      <w:i w:val="0"/>
      <w:iCs w:val="0"/>
      <w:smallCaps w:val="0"/>
      <w:strike w:val="0"/>
      <w:color w:val="000000"/>
      <w:spacing w:val="-14"/>
      <w:w w:val="100"/>
      <w:position w:val="0"/>
      <w:sz w:val="16"/>
      <w:szCs w:val="16"/>
      <w:u w:val="none"/>
      <w:lang w:val="en-GB"/>
    </w:rPr>
  </w:style>
  <w:style w:type="character" w:customStyle="1" w:styleId="Bodytext10Exact">
    <w:name w:val="Body text (10) Exact"/>
    <w:basedOn w:val="DefaultParagraphFont"/>
    <w:link w:val="Bodytext10"/>
    <w:rPr>
      <w:rFonts w:ascii="Arial" w:eastAsia="Arial" w:hAnsi="Arial" w:cs="Arial"/>
      <w:b w:val="0"/>
      <w:bCs w:val="0"/>
      <w:i w:val="0"/>
      <w:iCs w:val="0"/>
      <w:smallCaps w:val="0"/>
      <w:strike w:val="0"/>
      <w:spacing w:val="-5"/>
      <w:sz w:val="13"/>
      <w:szCs w:val="13"/>
      <w:u w:val="none"/>
    </w:rPr>
  </w:style>
  <w:style w:type="character" w:customStyle="1" w:styleId="Bodytext10Exact0">
    <w:name w:val="Body text (10) Exact"/>
    <w:basedOn w:val="Bodytext10Exact"/>
    <w:rPr>
      <w:rFonts w:ascii="Arial" w:eastAsia="Arial" w:hAnsi="Arial" w:cs="Arial"/>
      <w:b w:val="0"/>
      <w:bCs w:val="0"/>
      <w:i w:val="0"/>
      <w:iCs w:val="0"/>
      <w:smallCaps w:val="0"/>
      <w:strike w:val="0"/>
      <w:color w:val="434642"/>
      <w:spacing w:val="-5"/>
      <w:w w:val="100"/>
      <w:position w:val="0"/>
      <w:sz w:val="13"/>
      <w:szCs w:val="13"/>
      <w:u w:val="none"/>
      <w:lang w:val="en-GB"/>
    </w:rPr>
  </w:style>
  <w:style w:type="character" w:customStyle="1" w:styleId="Bodytext11Exact">
    <w:name w:val="Body text (11) Exact"/>
    <w:basedOn w:val="DefaultParagraphFont"/>
    <w:link w:val="Bodytext11"/>
    <w:rPr>
      <w:rFonts w:ascii="Arial" w:eastAsia="Arial" w:hAnsi="Arial" w:cs="Arial"/>
      <w:b w:val="0"/>
      <w:bCs w:val="0"/>
      <w:i w:val="0"/>
      <w:iCs w:val="0"/>
      <w:smallCaps w:val="0"/>
      <w:strike w:val="0"/>
      <w:spacing w:val="-5"/>
      <w:sz w:val="12"/>
      <w:szCs w:val="12"/>
      <w:u w:val="none"/>
    </w:rPr>
  </w:style>
  <w:style w:type="character" w:customStyle="1" w:styleId="Bodytext11Exact0">
    <w:name w:val="Body text (11) Exact"/>
    <w:basedOn w:val="Bodytext11Exact"/>
    <w:rPr>
      <w:rFonts w:ascii="Arial" w:eastAsia="Arial" w:hAnsi="Arial" w:cs="Arial"/>
      <w:b w:val="0"/>
      <w:bCs w:val="0"/>
      <w:i w:val="0"/>
      <w:iCs w:val="0"/>
      <w:smallCaps w:val="0"/>
      <w:strike w:val="0"/>
      <w:color w:val="434642"/>
      <w:spacing w:val="-5"/>
      <w:w w:val="100"/>
      <w:position w:val="0"/>
      <w:sz w:val="12"/>
      <w:szCs w:val="12"/>
      <w:u w:val="none"/>
      <w:lang w:val="en-GB"/>
    </w:rPr>
  </w:style>
  <w:style w:type="character" w:customStyle="1" w:styleId="Bodytext86pt">
    <w:name w:val="Body text (8) + 6 pt"/>
    <w:aliases w:val="Not Bold,Italic,Spacing 0 pt Exact"/>
    <w:basedOn w:val="Bodytext8Exact"/>
    <w:rPr>
      <w:rFonts w:ascii="Arial" w:eastAsia="Arial" w:hAnsi="Arial" w:cs="Arial"/>
      <w:b/>
      <w:bCs/>
      <w:i/>
      <w:iCs/>
      <w:smallCaps w:val="0"/>
      <w:strike w:val="0"/>
      <w:color w:val="434642"/>
      <w:spacing w:val="0"/>
      <w:w w:val="100"/>
      <w:position w:val="0"/>
      <w:sz w:val="12"/>
      <w:szCs w:val="12"/>
      <w:u w:val="none"/>
      <w:lang w:val="en-GB"/>
    </w:rPr>
  </w:style>
  <w:style w:type="character" w:customStyle="1" w:styleId="Bodytext10Spacing0ptExact">
    <w:name w:val="Body text (10) + Spacing 0 pt Exact"/>
    <w:basedOn w:val="Bodytext10Exact"/>
    <w:rPr>
      <w:rFonts w:ascii="Arial" w:eastAsia="Arial" w:hAnsi="Arial" w:cs="Arial"/>
      <w:b w:val="0"/>
      <w:bCs w:val="0"/>
      <w:i w:val="0"/>
      <w:iCs w:val="0"/>
      <w:smallCaps w:val="0"/>
      <w:strike w:val="0"/>
      <w:color w:val="000000"/>
      <w:spacing w:val="5"/>
      <w:w w:val="100"/>
      <w:position w:val="0"/>
      <w:sz w:val="13"/>
      <w:szCs w:val="13"/>
      <w:u w:val="none"/>
      <w:lang w:val="en-GB"/>
    </w:rPr>
  </w:style>
  <w:style w:type="character" w:customStyle="1" w:styleId="Bodytext109pt">
    <w:name w:val="Body text (10) + 9 pt"/>
    <w:aliases w:val="Italic,Spacing -1 pt,Scaling 80% Exact"/>
    <w:basedOn w:val="Bodytext10Exact"/>
    <w:rPr>
      <w:rFonts w:ascii="Arial" w:eastAsia="Arial" w:hAnsi="Arial" w:cs="Arial"/>
      <w:b w:val="0"/>
      <w:bCs w:val="0"/>
      <w:i/>
      <w:iCs/>
      <w:smallCaps w:val="0"/>
      <w:strike w:val="0"/>
      <w:color w:val="000000"/>
      <w:spacing w:val="-20"/>
      <w:w w:val="80"/>
      <w:position w:val="0"/>
      <w:sz w:val="18"/>
      <w:szCs w:val="18"/>
      <w:u w:val="none"/>
      <w:lang w:val="en-GB"/>
    </w:rPr>
  </w:style>
  <w:style w:type="character" w:customStyle="1" w:styleId="Bodytext12Exact">
    <w:name w:val="Body text (12) Exact"/>
    <w:basedOn w:val="DefaultParagraphFont"/>
    <w:link w:val="Bodytext12"/>
    <w:rPr>
      <w:rFonts w:ascii="Arial" w:eastAsia="Arial" w:hAnsi="Arial" w:cs="Arial"/>
      <w:b w:val="0"/>
      <w:bCs w:val="0"/>
      <w:i w:val="0"/>
      <w:iCs w:val="0"/>
      <w:smallCaps w:val="0"/>
      <w:strike w:val="0"/>
      <w:spacing w:val="-1"/>
      <w:sz w:val="11"/>
      <w:szCs w:val="11"/>
      <w:u w:val="none"/>
    </w:rPr>
  </w:style>
  <w:style w:type="character" w:customStyle="1" w:styleId="Bodytext12Exact0">
    <w:name w:val="Body text (12) Exact"/>
    <w:basedOn w:val="Bodytext12Exact"/>
    <w:rPr>
      <w:rFonts w:ascii="Arial" w:eastAsia="Arial" w:hAnsi="Arial" w:cs="Arial"/>
      <w:b w:val="0"/>
      <w:bCs w:val="0"/>
      <w:i w:val="0"/>
      <w:iCs w:val="0"/>
      <w:smallCaps w:val="0"/>
      <w:strike w:val="0"/>
      <w:color w:val="434642"/>
      <w:spacing w:val="-1"/>
      <w:w w:val="100"/>
      <w:position w:val="0"/>
      <w:sz w:val="11"/>
      <w:szCs w:val="11"/>
      <w:u w:val="none"/>
      <w:lang w:val="en-GB"/>
    </w:rPr>
  </w:style>
  <w:style w:type="character" w:customStyle="1" w:styleId="Bodytext13Exact">
    <w:name w:val="Body text (13) Exact"/>
    <w:basedOn w:val="DefaultParagraphFont"/>
    <w:link w:val="Bodytext13"/>
    <w:rPr>
      <w:rFonts w:ascii="Arial" w:eastAsia="Arial" w:hAnsi="Arial" w:cs="Arial"/>
      <w:b w:val="0"/>
      <w:bCs w:val="0"/>
      <w:i w:val="0"/>
      <w:iCs w:val="0"/>
      <w:smallCaps w:val="0"/>
      <w:strike w:val="0"/>
      <w:spacing w:val="-10"/>
      <w:sz w:val="14"/>
      <w:szCs w:val="14"/>
      <w:u w:val="none"/>
    </w:rPr>
  </w:style>
  <w:style w:type="character" w:customStyle="1" w:styleId="Bodytext13Exact0">
    <w:name w:val="Body text (13) Exact"/>
    <w:basedOn w:val="Bodytext13Exact"/>
    <w:rPr>
      <w:rFonts w:ascii="Arial" w:eastAsia="Arial" w:hAnsi="Arial" w:cs="Arial"/>
      <w:b w:val="0"/>
      <w:bCs w:val="0"/>
      <w:i w:val="0"/>
      <w:iCs w:val="0"/>
      <w:smallCaps w:val="0"/>
      <w:strike w:val="0"/>
      <w:color w:val="434642"/>
      <w:spacing w:val="-10"/>
      <w:w w:val="100"/>
      <w:position w:val="0"/>
      <w:sz w:val="14"/>
      <w:szCs w:val="14"/>
      <w:u w:val="none"/>
      <w:lang w:val="en-GB"/>
    </w:rPr>
  </w:style>
  <w:style w:type="character" w:customStyle="1" w:styleId="Bodytext14Exact">
    <w:name w:val="Body text (14) Exact"/>
    <w:basedOn w:val="DefaultParagraphFont"/>
    <w:link w:val="Bodytext14"/>
    <w:rPr>
      <w:rFonts w:ascii="Arial" w:eastAsia="Arial" w:hAnsi="Arial" w:cs="Arial"/>
      <w:b w:val="0"/>
      <w:bCs w:val="0"/>
      <w:i w:val="0"/>
      <w:iCs w:val="0"/>
      <w:smallCaps w:val="0"/>
      <w:strike w:val="0"/>
      <w:spacing w:val="-7"/>
      <w:sz w:val="13"/>
      <w:szCs w:val="13"/>
      <w:u w:val="none"/>
    </w:rPr>
  </w:style>
  <w:style w:type="character" w:customStyle="1" w:styleId="Bodytext34">
    <w:name w:val="Body text (3)"/>
    <w:basedOn w:val="Bodytext3"/>
    <w:rPr>
      <w:rFonts w:ascii="Arial" w:eastAsia="Arial" w:hAnsi="Arial" w:cs="Arial"/>
      <w:b w:val="0"/>
      <w:bCs w:val="0"/>
      <w:i w:val="0"/>
      <w:iCs w:val="0"/>
      <w:smallCaps w:val="0"/>
      <w:strike w:val="0"/>
      <w:color w:val="FFFFFF"/>
      <w:spacing w:val="0"/>
      <w:w w:val="100"/>
      <w:position w:val="0"/>
      <w:sz w:val="17"/>
      <w:szCs w:val="17"/>
      <w:u w:val="none"/>
      <w:lang w:val="en-GB"/>
    </w:rPr>
  </w:style>
  <w:style w:type="character" w:customStyle="1" w:styleId="Bodytext65pt0">
    <w:name w:val="Body text + 6.5 pt"/>
    <w:aliases w:val="Italic Exact"/>
    <w:basedOn w:val="Bodytext"/>
    <w:rPr>
      <w:rFonts w:ascii="Arial" w:eastAsia="Arial" w:hAnsi="Arial" w:cs="Arial"/>
      <w:b w:val="0"/>
      <w:bCs w:val="0"/>
      <w:i/>
      <w:iCs/>
      <w:smallCaps w:val="0"/>
      <w:strike w:val="0"/>
      <w:color w:val="000000"/>
      <w:spacing w:val="7"/>
      <w:w w:val="100"/>
      <w:position w:val="0"/>
      <w:sz w:val="13"/>
      <w:szCs w:val="13"/>
      <w:u w:val="none"/>
      <w:lang w:val="en-GB"/>
    </w:rPr>
  </w:style>
  <w:style w:type="character" w:customStyle="1" w:styleId="Heading54">
    <w:name w:val="Heading #5"/>
    <w:basedOn w:val="Heading5"/>
    <w:rPr>
      <w:rFonts w:ascii="Arial" w:eastAsia="Arial" w:hAnsi="Arial" w:cs="Arial"/>
      <w:b w:val="0"/>
      <w:bCs w:val="0"/>
      <w:i w:val="0"/>
      <w:iCs w:val="0"/>
      <w:smallCaps w:val="0"/>
      <w:strike w:val="0"/>
      <w:color w:val="000000"/>
      <w:spacing w:val="0"/>
      <w:w w:val="100"/>
      <w:position w:val="0"/>
      <w:sz w:val="26"/>
      <w:szCs w:val="26"/>
      <w:u w:val="none"/>
      <w:lang w:val="en-GB"/>
    </w:rPr>
  </w:style>
  <w:style w:type="character" w:customStyle="1" w:styleId="Bodytext35">
    <w:name w:val="Body text (3)"/>
    <w:basedOn w:val="Bodytext3"/>
    <w:rPr>
      <w:rFonts w:ascii="Arial" w:eastAsia="Arial" w:hAnsi="Arial" w:cs="Arial"/>
      <w:b w:val="0"/>
      <w:bCs w:val="0"/>
      <w:i w:val="0"/>
      <w:iCs w:val="0"/>
      <w:smallCaps w:val="0"/>
      <w:strike w:val="0"/>
      <w:color w:val="434642"/>
      <w:spacing w:val="0"/>
      <w:w w:val="100"/>
      <w:position w:val="0"/>
      <w:sz w:val="17"/>
      <w:szCs w:val="17"/>
      <w:u w:val="none"/>
      <w:lang w:val="en-GB"/>
    </w:rPr>
  </w:style>
  <w:style w:type="character" w:customStyle="1" w:styleId="Bodytext15">
    <w:name w:val="Body text (15)_"/>
    <w:basedOn w:val="DefaultParagraphFont"/>
    <w:link w:val="Bodytext150"/>
    <w:rPr>
      <w:rFonts w:ascii="Arial" w:eastAsia="Arial" w:hAnsi="Arial" w:cs="Arial"/>
      <w:b w:val="0"/>
      <w:bCs w:val="0"/>
      <w:i w:val="0"/>
      <w:iCs w:val="0"/>
      <w:smallCaps w:val="0"/>
      <w:strike w:val="0"/>
      <w:spacing w:val="-30"/>
      <w:sz w:val="32"/>
      <w:szCs w:val="32"/>
      <w:u w:val="none"/>
    </w:rPr>
  </w:style>
  <w:style w:type="character" w:customStyle="1" w:styleId="Bodytext151">
    <w:name w:val="Body text (15)"/>
    <w:basedOn w:val="Bodytext15"/>
    <w:rPr>
      <w:rFonts w:ascii="Arial" w:eastAsia="Arial" w:hAnsi="Arial" w:cs="Arial"/>
      <w:b w:val="0"/>
      <w:bCs w:val="0"/>
      <w:i w:val="0"/>
      <w:iCs w:val="0"/>
      <w:smallCaps w:val="0"/>
      <w:strike w:val="0"/>
      <w:color w:val="434642"/>
      <w:spacing w:val="-30"/>
      <w:w w:val="100"/>
      <w:position w:val="0"/>
      <w:sz w:val="32"/>
      <w:szCs w:val="32"/>
      <w:u w:val="none"/>
      <w:lang w:val="en-GB"/>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7"/>
      <w:szCs w:val="17"/>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4"/>
      <w:szCs w:val="14"/>
      <w:u w:val="none"/>
    </w:rPr>
  </w:style>
  <w:style w:type="character" w:customStyle="1" w:styleId="Heading42">
    <w:name w:val="Heading #4"/>
    <w:basedOn w:val="Heading4"/>
    <w:rPr>
      <w:rFonts w:ascii="Arial" w:eastAsia="Arial" w:hAnsi="Arial" w:cs="Arial"/>
      <w:b w:val="0"/>
      <w:bCs w:val="0"/>
      <w:i w:val="0"/>
      <w:iCs w:val="0"/>
      <w:smallCaps w:val="0"/>
      <w:strike w:val="0"/>
      <w:color w:val="6F7261"/>
      <w:spacing w:val="10"/>
      <w:w w:val="100"/>
      <w:position w:val="0"/>
      <w:sz w:val="30"/>
      <w:szCs w:val="30"/>
      <w:u w:val="none"/>
      <w:lang w:val="en-GB"/>
    </w:rPr>
  </w:style>
  <w:style w:type="character" w:customStyle="1" w:styleId="Tableofcontents2">
    <w:name w:val="Table of contents (2)_"/>
    <w:basedOn w:val="DefaultParagraphFont"/>
    <w:link w:val="Tableofcontents20"/>
    <w:rPr>
      <w:rFonts w:ascii="Arial" w:eastAsia="Arial" w:hAnsi="Arial" w:cs="Arial"/>
      <w:b w:val="0"/>
      <w:bCs w:val="0"/>
      <w:i w:val="0"/>
      <w:iCs w:val="0"/>
      <w:smallCaps w:val="0"/>
      <w:strike w:val="0"/>
      <w:sz w:val="17"/>
      <w:szCs w:val="17"/>
      <w:u w:val="none"/>
    </w:rPr>
  </w:style>
  <w:style w:type="character" w:customStyle="1" w:styleId="Tableofcontents265pt">
    <w:name w:val="Table of contents (2) + 6.5 pt"/>
    <w:basedOn w:val="Tableofcontents2"/>
    <w:rPr>
      <w:rFonts w:ascii="Arial" w:eastAsia="Arial" w:hAnsi="Arial" w:cs="Arial"/>
      <w:b w:val="0"/>
      <w:bCs w:val="0"/>
      <w:i w:val="0"/>
      <w:iCs w:val="0"/>
      <w:smallCaps w:val="0"/>
      <w:strike w:val="0"/>
      <w:color w:val="000000"/>
      <w:spacing w:val="0"/>
      <w:w w:val="100"/>
      <w:position w:val="0"/>
      <w:sz w:val="13"/>
      <w:szCs w:val="13"/>
      <w:u w:val="none"/>
      <w:lang w:val="en-GB"/>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13"/>
      <w:szCs w:val="13"/>
      <w:u w:val="none"/>
    </w:rPr>
  </w:style>
  <w:style w:type="character" w:customStyle="1" w:styleId="Tableofcontents3">
    <w:name w:val="Table of contents (3)_"/>
    <w:basedOn w:val="DefaultParagraphFont"/>
    <w:link w:val="Tableofcontents30"/>
    <w:rPr>
      <w:rFonts w:ascii="Arial" w:eastAsia="Arial" w:hAnsi="Arial" w:cs="Arial"/>
      <w:b w:val="0"/>
      <w:bCs w:val="0"/>
      <w:i w:val="0"/>
      <w:iCs w:val="0"/>
      <w:smallCaps w:val="0"/>
      <w:strike w:val="0"/>
      <w:spacing w:val="-10"/>
      <w:sz w:val="13"/>
      <w:szCs w:val="13"/>
      <w:u w:val="none"/>
    </w:rPr>
  </w:style>
  <w:style w:type="paragraph" w:customStyle="1" w:styleId="Footnote0">
    <w:name w:val="Footnote"/>
    <w:basedOn w:val="Normal"/>
    <w:link w:val="Footnote"/>
    <w:pPr>
      <w:widowControl w:val="0"/>
      <w:shd w:val="clear" w:color="auto" w:fill="FFFFFF"/>
      <w:spacing w:line="0" w:lineRule="atLeast"/>
      <w:jc w:val="right"/>
    </w:pPr>
    <w:rPr>
      <w:rFonts w:eastAsia="Arial" w:cs="Arial"/>
      <w:i/>
      <w:iCs/>
      <w:sz w:val="14"/>
      <w:szCs w:val="14"/>
    </w:rPr>
  </w:style>
  <w:style w:type="paragraph" w:customStyle="1" w:styleId="Heading10">
    <w:name w:val="Heading #1"/>
    <w:basedOn w:val="Normal"/>
    <w:link w:val="Heading1"/>
    <w:pPr>
      <w:widowControl w:val="0"/>
      <w:shd w:val="clear" w:color="auto" w:fill="FFFFFF"/>
      <w:spacing w:after="360" w:line="0" w:lineRule="atLeast"/>
      <w:outlineLvl w:val="0"/>
    </w:pPr>
    <w:rPr>
      <w:rFonts w:eastAsia="Arial" w:cs="Arial"/>
      <w:spacing w:val="10"/>
      <w:sz w:val="36"/>
      <w:szCs w:val="36"/>
    </w:rPr>
  </w:style>
  <w:style w:type="paragraph" w:customStyle="1" w:styleId="Headerorfooter0">
    <w:name w:val="Header or footer"/>
    <w:basedOn w:val="Normal"/>
    <w:link w:val="Headerorfooter"/>
    <w:pPr>
      <w:widowControl w:val="0"/>
      <w:shd w:val="clear" w:color="auto" w:fill="FFFFFF"/>
    </w:pPr>
  </w:style>
  <w:style w:type="paragraph" w:customStyle="1" w:styleId="BodyText4">
    <w:name w:val="Body Text4"/>
    <w:basedOn w:val="Normal"/>
    <w:link w:val="Bodytext"/>
    <w:pPr>
      <w:widowControl w:val="0"/>
      <w:shd w:val="clear" w:color="auto" w:fill="FFFFFF"/>
      <w:spacing w:before="360" w:after="60" w:line="281" w:lineRule="exact"/>
      <w:ind w:hanging="600"/>
    </w:pPr>
    <w:rPr>
      <w:rFonts w:eastAsia="Arial" w:cs="Arial"/>
      <w:sz w:val="17"/>
      <w:szCs w:val="17"/>
    </w:rPr>
  </w:style>
  <w:style w:type="paragraph" w:customStyle="1" w:styleId="Heading20">
    <w:name w:val="Heading #2"/>
    <w:basedOn w:val="Normal"/>
    <w:link w:val="Heading2"/>
    <w:pPr>
      <w:widowControl w:val="0"/>
      <w:shd w:val="clear" w:color="auto" w:fill="FFFFFF"/>
      <w:spacing w:before="360" w:after="360" w:line="0" w:lineRule="atLeast"/>
      <w:outlineLvl w:val="1"/>
    </w:pPr>
    <w:rPr>
      <w:rFonts w:eastAsia="Arial" w:cs="Arial"/>
      <w:sz w:val="26"/>
      <w:szCs w:val="26"/>
    </w:rPr>
  </w:style>
  <w:style w:type="paragraph" w:customStyle="1" w:styleId="Picturecaption0">
    <w:name w:val="Picture caption"/>
    <w:basedOn w:val="Normal"/>
    <w:link w:val="Picturecaption"/>
    <w:pPr>
      <w:widowControl w:val="0"/>
      <w:shd w:val="clear" w:color="auto" w:fill="FFFFFF"/>
      <w:spacing w:line="288" w:lineRule="exact"/>
    </w:pPr>
    <w:rPr>
      <w:rFonts w:eastAsia="Arial" w:cs="Arial"/>
      <w:sz w:val="17"/>
      <w:szCs w:val="17"/>
    </w:rPr>
  </w:style>
  <w:style w:type="paragraph" w:customStyle="1" w:styleId="Bodytext20">
    <w:name w:val="Body text (2)"/>
    <w:basedOn w:val="Normal"/>
    <w:link w:val="Bodytext2"/>
    <w:pPr>
      <w:widowControl w:val="0"/>
      <w:shd w:val="clear" w:color="auto" w:fill="FFFFFF"/>
      <w:spacing w:before="360" w:after="360" w:line="0" w:lineRule="atLeast"/>
    </w:pPr>
    <w:rPr>
      <w:rFonts w:eastAsia="Arial" w:cs="Arial"/>
      <w:sz w:val="26"/>
      <w:szCs w:val="26"/>
    </w:rPr>
  </w:style>
  <w:style w:type="paragraph" w:customStyle="1" w:styleId="Bodytext30">
    <w:name w:val="Body text (3)"/>
    <w:basedOn w:val="Normal"/>
    <w:link w:val="Bodytext3"/>
    <w:pPr>
      <w:widowControl w:val="0"/>
      <w:shd w:val="clear" w:color="auto" w:fill="FFFFFF"/>
      <w:spacing w:before="360" w:line="382" w:lineRule="exact"/>
    </w:pPr>
    <w:rPr>
      <w:rFonts w:eastAsia="Arial" w:cs="Arial"/>
      <w:b/>
      <w:bCs/>
      <w:sz w:val="17"/>
      <w:szCs w:val="17"/>
    </w:rPr>
  </w:style>
  <w:style w:type="paragraph" w:customStyle="1" w:styleId="Bodytext41">
    <w:name w:val="Body text (4)"/>
    <w:basedOn w:val="Normal"/>
    <w:link w:val="Bodytext40"/>
    <w:pPr>
      <w:widowControl w:val="0"/>
      <w:shd w:val="clear" w:color="auto" w:fill="FFFFFF"/>
      <w:spacing w:before="180" w:after="360" w:line="0" w:lineRule="atLeast"/>
    </w:pPr>
    <w:rPr>
      <w:rFonts w:eastAsia="Arial" w:cs="Arial"/>
      <w:spacing w:val="10"/>
      <w:sz w:val="36"/>
      <w:szCs w:val="36"/>
    </w:rPr>
  </w:style>
  <w:style w:type="paragraph" w:customStyle="1" w:styleId="Bodytext50">
    <w:name w:val="Body text (5)"/>
    <w:basedOn w:val="Normal"/>
    <w:link w:val="Bodytext5"/>
    <w:pPr>
      <w:widowControl w:val="0"/>
      <w:shd w:val="clear" w:color="auto" w:fill="FFFFFF"/>
      <w:spacing w:before="360" w:line="0" w:lineRule="atLeast"/>
      <w:jc w:val="right"/>
    </w:pPr>
    <w:rPr>
      <w:rFonts w:eastAsia="Arial" w:cs="Arial"/>
      <w:sz w:val="13"/>
      <w:szCs w:val="13"/>
    </w:rPr>
  </w:style>
  <w:style w:type="paragraph" w:customStyle="1" w:styleId="Heading121">
    <w:name w:val="Heading #1 (2)"/>
    <w:basedOn w:val="Normal"/>
    <w:link w:val="Heading120"/>
    <w:pPr>
      <w:widowControl w:val="0"/>
      <w:shd w:val="clear" w:color="auto" w:fill="FFFFFF"/>
      <w:spacing w:after="540" w:line="0" w:lineRule="atLeast"/>
      <w:outlineLvl w:val="0"/>
    </w:pPr>
    <w:rPr>
      <w:rFonts w:eastAsia="Arial" w:cs="Arial"/>
      <w:spacing w:val="10"/>
      <w:sz w:val="36"/>
      <w:szCs w:val="36"/>
    </w:rPr>
  </w:style>
  <w:style w:type="paragraph" w:customStyle="1" w:styleId="Heading520">
    <w:name w:val="Heading #5 (2)"/>
    <w:basedOn w:val="Normal"/>
    <w:link w:val="Heading52"/>
    <w:pPr>
      <w:widowControl w:val="0"/>
      <w:shd w:val="clear" w:color="auto" w:fill="FFFFFF"/>
      <w:spacing w:before="540" w:after="360" w:line="0" w:lineRule="atLeast"/>
      <w:outlineLvl w:val="4"/>
    </w:pPr>
    <w:rPr>
      <w:rFonts w:eastAsia="Arial" w:cs="Arial"/>
      <w:b/>
      <w:bCs/>
      <w:sz w:val="26"/>
      <w:szCs w:val="26"/>
    </w:rPr>
  </w:style>
  <w:style w:type="paragraph" w:customStyle="1" w:styleId="Heading50">
    <w:name w:val="Heading #5"/>
    <w:basedOn w:val="Normal"/>
    <w:link w:val="Heading5"/>
    <w:pPr>
      <w:widowControl w:val="0"/>
      <w:shd w:val="clear" w:color="auto" w:fill="FFFFFF"/>
      <w:spacing w:before="360" w:after="360" w:line="0" w:lineRule="atLeast"/>
      <w:outlineLvl w:val="4"/>
    </w:pPr>
    <w:rPr>
      <w:rFonts w:eastAsia="Arial" w:cs="Arial"/>
      <w:sz w:val="26"/>
      <w:szCs w:val="26"/>
    </w:rPr>
  </w:style>
  <w:style w:type="paragraph" w:customStyle="1" w:styleId="Heading30">
    <w:name w:val="Heading #3"/>
    <w:basedOn w:val="Normal"/>
    <w:link w:val="Heading3"/>
    <w:pPr>
      <w:widowControl w:val="0"/>
      <w:shd w:val="clear" w:color="auto" w:fill="FFFFFF"/>
      <w:spacing w:after="360" w:line="0" w:lineRule="atLeast"/>
      <w:outlineLvl w:val="2"/>
    </w:pPr>
    <w:rPr>
      <w:rFonts w:eastAsia="Arial" w:cs="Arial"/>
      <w:spacing w:val="10"/>
      <w:sz w:val="36"/>
      <w:szCs w:val="36"/>
    </w:rPr>
  </w:style>
  <w:style w:type="paragraph" w:customStyle="1" w:styleId="Heading231">
    <w:name w:val="Heading #2 (3)"/>
    <w:basedOn w:val="Normal"/>
    <w:link w:val="Heading230"/>
    <w:pPr>
      <w:widowControl w:val="0"/>
      <w:shd w:val="clear" w:color="auto" w:fill="FFFFFF"/>
      <w:spacing w:after="540" w:line="0" w:lineRule="atLeast"/>
      <w:outlineLvl w:val="1"/>
    </w:pPr>
    <w:rPr>
      <w:rFonts w:eastAsia="Arial" w:cs="Arial"/>
      <w:spacing w:val="10"/>
      <w:sz w:val="36"/>
      <w:szCs w:val="36"/>
    </w:rPr>
  </w:style>
  <w:style w:type="paragraph" w:customStyle="1" w:styleId="Heading40">
    <w:name w:val="Heading #4"/>
    <w:basedOn w:val="Normal"/>
    <w:link w:val="Heading4"/>
    <w:pPr>
      <w:widowControl w:val="0"/>
      <w:shd w:val="clear" w:color="auto" w:fill="FFFFFF"/>
      <w:spacing w:after="480" w:line="0" w:lineRule="atLeast"/>
      <w:outlineLvl w:val="3"/>
    </w:pPr>
    <w:rPr>
      <w:rFonts w:eastAsia="Arial" w:cs="Arial"/>
      <w:spacing w:val="10"/>
      <w:sz w:val="30"/>
      <w:szCs w:val="30"/>
    </w:rPr>
  </w:style>
  <w:style w:type="paragraph" w:customStyle="1" w:styleId="Bodytext70">
    <w:name w:val="Body text (7)"/>
    <w:basedOn w:val="Normal"/>
    <w:link w:val="Bodytext7"/>
    <w:pPr>
      <w:widowControl w:val="0"/>
      <w:shd w:val="clear" w:color="auto" w:fill="FFFFFF"/>
      <w:spacing w:before="60" w:after="60" w:line="209" w:lineRule="exact"/>
      <w:jc w:val="center"/>
    </w:pPr>
    <w:rPr>
      <w:rFonts w:eastAsia="Arial" w:cs="Arial"/>
      <w:i/>
      <w:iCs/>
      <w:sz w:val="14"/>
      <w:szCs w:val="14"/>
    </w:rPr>
  </w:style>
  <w:style w:type="paragraph" w:customStyle="1" w:styleId="Bodytext8">
    <w:name w:val="Body text (8)"/>
    <w:basedOn w:val="Normal"/>
    <w:link w:val="Bodytext8Exact"/>
    <w:pPr>
      <w:widowControl w:val="0"/>
      <w:shd w:val="clear" w:color="auto" w:fill="FFFFFF"/>
      <w:spacing w:line="0" w:lineRule="atLeast"/>
    </w:pPr>
    <w:rPr>
      <w:rFonts w:eastAsia="Arial" w:cs="Arial"/>
      <w:b/>
      <w:bCs/>
      <w:spacing w:val="-8"/>
      <w:sz w:val="8"/>
      <w:szCs w:val="8"/>
    </w:rPr>
  </w:style>
  <w:style w:type="paragraph" w:customStyle="1" w:styleId="Bodytext9">
    <w:name w:val="Body text (9)"/>
    <w:basedOn w:val="Normal"/>
    <w:link w:val="Bodytext9Exact"/>
    <w:pPr>
      <w:widowControl w:val="0"/>
      <w:shd w:val="clear" w:color="auto" w:fill="FFFFFF"/>
      <w:spacing w:after="300" w:line="0" w:lineRule="atLeast"/>
    </w:pPr>
    <w:rPr>
      <w:rFonts w:eastAsia="Arial" w:cs="Arial"/>
      <w:spacing w:val="16"/>
      <w:sz w:val="28"/>
      <w:szCs w:val="28"/>
    </w:rPr>
  </w:style>
  <w:style w:type="paragraph" w:customStyle="1" w:styleId="Bodytext10">
    <w:name w:val="Body text (10)"/>
    <w:basedOn w:val="Normal"/>
    <w:link w:val="Bodytext10Exact"/>
    <w:pPr>
      <w:widowControl w:val="0"/>
      <w:shd w:val="clear" w:color="auto" w:fill="FFFFFF"/>
      <w:spacing w:before="180" w:line="331" w:lineRule="exact"/>
    </w:pPr>
    <w:rPr>
      <w:rFonts w:eastAsia="Arial" w:cs="Arial"/>
      <w:spacing w:val="-5"/>
      <w:sz w:val="13"/>
      <w:szCs w:val="13"/>
    </w:rPr>
  </w:style>
  <w:style w:type="paragraph" w:customStyle="1" w:styleId="Bodytext11">
    <w:name w:val="Body text (11)"/>
    <w:basedOn w:val="Normal"/>
    <w:link w:val="Bodytext11Exact"/>
    <w:pPr>
      <w:widowControl w:val="0"/>
      <w:shd w:val="clear" w:color="auto" w:fill="FFFFFF"/>
      <w:spacing w:line="331" w:lineRule="exact"/>
    </w:pPr>
    <w:rPr>
      <w:rFonts w:eastAsia="Arial" w:cs="Arial"/>
      <w:spacing w:val="-5"/>
      <w:sz w:val="12"/>
      <w:szCs w:val="12"/>
    </w:rPr>
  </w:style>
  <w:style w:type="paragraph" w:customStyle="1" w:styleId="Bodytext12">
    <w:name w:val="Body text (12)"/>
    <w:basedOn w:val="Normal"/>
    <w:link w:val="Bodytext12Exact"/>
    <w:pPr>
      <w:widowControl w:val="0"/>
      <w:shd w:val="clear" w:color="auto" w:fill="FFFFFF"/>
      <w:spacing w:line="331" w:lineRule="exact"/>
    </w:pPr>
    <w:rPr>
      <w:rFonts w:eastAsia="Arial" w:cs="Arial"/>
      <w:spacing w:val="-1"/>
      <w:sz w:val="11"/>
      <w:szCs w:val="11"/>
    </w:rPr>
  </w:style>
  <w:style w:type="paragraph" w:customStyle="1" w:styleId="Bodytext13">
    <w:name w:val="Body text (13)"/>
    <w:basedOn w:val="Normal"/>
    <w:link w:val="Bodytext13Exact"/>
    <w:pPr>
      <w:widowControl w:val="0"/>
      <w:shd w:val="clear" w:color="auto" w:fill="FFFFFF"/>
      <w:spacing w:line="331" w:lineRule="exact"/>
    </w:pPr>
    <w:rPr>
      <w:rFonts w:eastAsia="Arial" w:cs="Arial"/>
      <w:b/>
      <w:bCs/>
      <w:spacing w:val="-10"/>
      <w:sz w:val="14"/>
      <w:szCs w:val="14"/>
    </w:rPr>
  </w:style>
  <w:style w:type="paragraph" w:customStyle="1" w:styleId="Bodytext14">
    <w:name w:val="Body text (14)"/>
    <w:basedOn w:val="Normal"/>
    <w:link w:val="Bodytext14Exact"/>
    <w:pPr>
      <w:widowControl w:val="0"/>
      <w:shd w:val="clear" w:color="auto" w:fill="FFFFFF"/>
      <w:spacing w:line="331" w:lineRule="exact"/>
    </w:pPr>
    <w:rPr>
      <w:rFonts w:eastAsia="Arial" w:cs="Arial"/>
      <w:spacing w:val="-7"/>
      <w:sz w:val="13"/>
      <w:szCs w:val="13"/>
    </w:rPr>
  </w:style>
  <w:style w:type="paragraph" w:customStyle="1" w:styleId="Bodytext150">
    <w:name w:val="Body text (15)"/>
    <w:basedOn w:val="Normal"/>
    <w:link w:val="Bodytext15"/>
    <w:pPr>
      <w:widowControl w:val="0"/>
      <w:shd w:val="clear" w:color="auto" w:fill="FFFFFF"/>
      <w:spacing w:line="0" w:lineRule="atLeast"/>
      <w:jc w:val="right"/>
    </w:pPr>
    <w:rPr>
      <w:rFonts w:eastAsia="Arial" w:cs="Arial"/>
      <w:b/>
      <w:bCs/>
      <w:spacing w:val="-30"/>
      <w:sz w:val="32"/>
      <w:szCs w:val="32"/>
    </w:rPr>
  </w:style>
  <w:style w:type="paragraph" w:customStyle="1" w:styleId="Tablecaption0">
    <w:name w:val="Table caption"/>
    <w:basedOn w:val="Normal"/>
    <w:link w:val="Tablecaption"/>
    <w:pPr>
      <w:widowControl w:val="0"/>
      <w:shd w:val="clear" w:color="auto" w:fill="FFFFFF"/>
      <w:spacing w:line="0" w:lineRule="atLeast"/>
    </w:pPr>
    <w:rPr>
      <w:rFonts w:eastAsia="Arial" w:cs="Arial"/>
      <w:sz w:val="17"/>
      <w:szCs w:val="17"/>
    </w:rPr>
  </w:style>
  <w:style w:type="paragraph" w:customStyle="1" w:styleId="Tableofcontents20">
    <w:name w:val="Table of contents (2)"/>
    <w:basedOn w:val="Normal"/>
    <w:link w:val="Tableofcontents2"/>
    <w:pPr>
      <w:widowControl w:val="0"/>
      <w:shd w:val="clear" w:color="auto" w:fill="FFFFFF"/>
      <w:spacing w:before="660" w:line="209" w:lineRule="exact"/>
    </w:pPr>
    <w:rPr>
      <w:rFonts w:eastAsia="Arial" w:cs="Arial"/>
      <w:sz w:val="17"/>
      <w:szCs w:val="17"/>
    </w:rPr>
  </w:style>
  <w:style w:type="paragraph" w:customStyle="1" w:styleId="Tableofcontents0">
    <w:name w:val="Table of contents"/>
    <w:basedOn w:val="Normal"/>
    <w:link w:val="Tableofcontents"/>
    <w:pPr>
      <w:widowControl w:val="0"/>
      <w:shd w:val="clear" w:color="auto" w:fill="FFFFFF"/>
      <w:spacing w:line="209" w:lineRule="exact"/>
    </w:pPr>
    <w:rPr>
      <w:rFonts w:eastAsia="Arial" w:cs="Arial"/>
      <w:sz w:val="13"/>
      <w:szCs w:val="13"/>
    </w:rPr>
  </w:style>
  <w:style w:type="paragraph" w:customStyle="1" w:styleId="Tableofcontents30">
    <w:name w:val="Table of contents (3)"/>
    <w:basedOn w:val="Normal"/>
    <w:link w:val="Tableofcontents3"/>
    <w:pPr>
      <w:widowControl w:val="0"/>
      <w:shd w:val="clear" w:color="auto" w:fill="FFFFFF"/>
      <w:spacing w:before="120" w:line="0" w:lineRule="atLeast"/>
    </w:pPr>
    <w:rPr>
      <w:rFonts w:eastAsia="Arial" w:cs="Arial"/>
      <w:spacing w:val="-10"/>
      <w:sz w:val="13"/>
      <w:szCs w:val="13"/>
    </w:rPr>
  </w:style>
  <w:style w:type="paragraph" w:styleId="Footer">
    <w:name w:val="footer"/>
    <w:basedOn w:val="Normal"/>
    <w:link w:val="FooterChar"/>
    <w:uiPriority w:val="99"/>
    <w:rsid w:val="00C13A3C"/>
    <w:pPr>
      <w:tabs>
        <w:tab w:val="center" w:pos="4320"/>
        <w:tab w:val="right" w:pos="8640"/>
      </w:tabs>
    </w:pPr>
    <w:rPr>
      <w:rFonts w:cs="Arial"/>
      <w:sz w:val="16"/>
    </w:rPr>
  </w:style>
  <w:style w:type="character" w:customStyle="1" w:styleId="FooterChar">
    <w:name w:val="Footer Char"/>
    <w:basedOn w:val="DefaultParagraphFont"/>
    <w:link w:val="Footer"/>
    <w:uiPriority w:val="99"/>
    <w:rsid w:val="00C13A3C"/>
    <w:rPr>
      <w:rFonts w:ascii="Arial" w:hAnsi="Arial" w:cs="Arial"/>
      <w:sz w:val="16"/>
      <w:szCs w:val="20"/>
    </w:rPr>
  </w:style>
  <w:style w:type="paragraph" w:styleId="Header">
    <w:name w:val="header"/>
    <w:basedOn w:val="Normal"/>
    <w:link w:val="HeaderChar"/>
    <w:uiPriority w:val="99"/>
    <w:rsid w:val="00C13A3C"/>
    <w:pPr>
      <w:tabs>
        <w:tab w:val="center" w:pos="4320"/>
        <w:tab w:val="right" w:pos="8640"/>
      </w:tabs>
    </w:pPr>
    <w:rPr>
      <w:rFonts w:cs="Arial"/>
      <w:sz w:val="16"/>
    </w:rPr>
  </w:style>
  <w:style w:type="character" w:customStyle="1" w:styleId="HeaderChar">
    <w:name w:val="Header Char"/>
    <w:basedOn w:val="DefaultParagraphFont"/>
    <w:link w:val="Header"/>
    <w:uiPriority w:val="99"/>
    <w:rsid w:val="00C13A3C"/>
    <w:rPr>
      <w:rFonts w:ascii="Arial" w:hAnsi="Arial" w:cs="Arial"/>
      <w:sz w:val="16"/>
      <w:szCs w:val="20"/>
    </w:rPr>
  </w:style>
  <w:style w:type="paragraph" w:customStyle="1" w:styleId="Body">
    <w:name w:val="Body"/>
    <w:basedOn w:val="Normal"/>
    <w:uiPriority w:val="99"/>
    <w:rsid w:val="007615A3"/>
    <w:pPr>
      <w:adjustRightInd w:val="0"/>
      <w:spacing w:after="240" w:line="360" w:lineRule="auto"/>
      <w:jc w:val="left"/>
    </w:pPr>
    <w:rPr>
      <w:rFonts w:eastAsia="Arial" w:cs="Arial"/>
    </w:rPr>
  </w:style>
  <w:style w:type="paragraph" w:customStyle="1" w:styleId="Appendix">
    <w:name w:val="Appendix #"/>
    <w:basedOn w:val="Body"/>
    <w:next w:val="Normal"/>
    <w:uiPriority w:val="99"/>
    <w:rsid w:val="00C13A3C"/>
    <w:pPr>
      <w:keepNext/>
      <w:keepLines/>
      <w:numPr>
        <w:ilvl w:val="1"/>
        <w:numId w:val="19"/>
      </w:numPr>
      <w:jc w:val="center"/>
    </w:pPr>
    <w:rPr>
      <w:b/>
      <w:bCs/>
    </w:rPr>
  </w:style>
  <w:style w:type="paragraph" w:customStyle="1" w:styleId="Body1">
    <w:name w:val="Body 1"/>
    <w:basedOn w:val="Body"/>
    <w:uiPriority w:val="99"/>
    <w:rsid w:val="00E7475A"/>
    <w:pPr>
      <w:ind w:left="851"/>
    </w:pPr>
  </w:style>
  <w:style w:type="paragraph" w:customStyle="1" w:styleId="Body2">
    <w:name w:val="Body 2"/>
    <w:basedOn w:val="Body"/>
    <w:uiPriority w:val="99"/>
    <w:rsid w:val="00E7475A"/>
    <w:pPr>
      <w:ind w:left="851"/>
    </w:pPr>
  </w:style>
  <w:style w:type="paragraph" w:customStyle="1" w:styleId="Body3">
    <w:name w:val="Body 3"/>
    <w:basedOn w:val="Body"/>
    <w:uiPriority w:val="99"/>
    <w:rsid w:val="00E7475A"/>
    <w:pPr>
      <w:ind w:left="1701"/>
    </w:pPr>
  </w:style>
  <w:style w:type="paragraph" w:customStyle="1" w:styleId="Body4">
    <w:name w:val="Body 4"/>
    <w:basedOn w:val="Body"/>
    <w:uiPriority w:val="99"/>
    <w:rsid w:val="00C13A3C"/>
    <w:pPr>
      <w:ind w:left="2553"/>
    </w:pPr>
  </w:style>
  <w:style w:type="paragraph" w:customStyle="1" w:styleId="Body5">
    <w:name w:val="Body 5"/>
    <w:basedOn w:val="Body"/>
    <w:uiPriority w:val="99"/>
    <w:rsid w:val="00C13A3C"/>
    <w:pPr>
      <w:ind w:left="3404"/>
    </w:pPr>
  </w:style>
  <w:style w:type="paragraph" w:customStyle="1" w:styleId="Body6">
    <w:name w:val="Body 6"/>
    <w:basedOn w:val="Body"/>
    <w:uiPriority w:val="99"/>
    <w:rsid w:val="00C13A3C"/>
    <w:pPr>
      <w:ind w:left="4255"/>
    </w:pPr>
  </w:style>
  <w:style w:type="paragraph" w:customStyle="1" w:styleId="Bullet1">
    <w:name w:val="Bullet 1"/>
    <w:basedOn w:val="Body"/>
    <w:uiPriority w:val="99"/>
    <w:rsid w:val="00E7475A"/>
    <w:pPr>
      <w:numPr>
        <w:numId w:val="10"/>
      </w:numPr>
    </w:pPr>
  </w:style>
  <w:style w:type="paragraph" w:customStyle="1" w:styleId="Bullet2">
    <w:name w:val="Bullet 2"/>
    <w:basedOn w:val="Body"/>
    <w:uiPriority w:val="99"/>
    <w:rsid w:val="00E7475A"/>
    <w:pPr>
      <w:numPr>
        <w:ilvl w:val="1"/>
        <w:numId w:val="10"/>
      </w:numPr>
    </w:pPr>
  </w:style>
  <w:style w:type="paragraph" w:customStyle="1" w:styleId="Bullet3">
    <w:name w:val="Bullet 3"/>
    <w:basedOn w:val="Body"/>
    <w:uiPriority w:val="99"/>
    <w:rsid w:val="00E7475A"/>
    <w:pPr>
      <w:numPr>
        <w:ilvl w:val="2"/>
        <w:numId w:val="10"/>
      </w:numPr>
      <w:ind w:left="2552"/>
    </w:pPr>
  </w:style>
  <w:style w:type="paragraph" w:customStyle="1" w:styleId="Bullet4">
    <w:name w:val="Bullet 4"/>
    <w:basedOn w:val="Body"/>
    <w:uiPriority w:val="99"/>
    <w:rsid w:val="00C13A3C"/>
    <w:pPr>
      <w:numPr>
        <w:ilvl w:val="3"/>
        <w:numId w:val="10"/>
      </w:numPr>
    </w:pPr>
  </w:style>
  <w:style w:type="paragraph" w:styleId="CommentText">
    <w:name w:val="annotation text"/>
    <w:basedOn w:val="Normal"/>
    <w:link w:val="CommentTextChar"/>
    <w:uiPriority w:val="99"/>
    <w:semiHidden/>
    <w:rsid w:val="00C13A3C"/>
  </w:style>
  <w:style w:type="character" w:customStyle="1" w:styleId="CommentTextChar">
    <w:name w:val="Comment Text Char"/>
    <w:basedOn w:val="DefaultParagraphFont"/>
    <w:link w:val="CommentText"/>
    <w:uiPriority w:val="99"/>
    <w:semiHidden/>
    <w:rsid w:val="00C13A3C"/>
    <w:rPr>
      <w:rFonts w:ascii="Arial" w:hAnsi="Arial" w:cstheme="minorBidi"/>
      <w:sz w:val="20"/>
      <w:szCs w:val="20"/>
    </w:rPr>
  </w:style>
  <w:style w:type="character" w:styleId="EndnoteReference">
    <w:name w:val="endnote reference"/>
    <w:basedOn w:val="DefaultParagraphFont"/>
    <w:semiHidden/>
    <w:rsid w:val="00C13A3C"/>
    <w:rPr>
      <w:vertAlign w:val="superscript"/>
    </w:rPr>
  </w:style>
  <w:style w:type="paragraph" w:styleId="EndnoteText">
    <w:name w:val="endnote text"/>
    <w:basedOn w:val="Normal"/>
    <w:link w:val="EndnoteTextChar"/>
    <w:semiHidden/>
    <w:rsid w:val="00C13A3C"/>
    <w:rPr>
      <w:rFonts w:cs="Arial"/>
      <w:sz w:val="16"/>
    </w:rPr>
  </w:style>
  <w:style w:type="character" w:customStyle="1" w:styleId="EndnoteTextChar">
    <w:name w:val="Endnote Text Char"/>
    <w:basedOn w:val="DefaultParagraphFont"/>
    <w:link w:val="EndnoteText"/>
    <w:semiHidden/>
    <w:rsid w:val="00C13A3C"/>
    <w:rPr>
      <w:rFonts w:ascii="Arial" w:hAnsi="Arial" w:cs="Arial"/>
      <w:sz w:val="16"/>
      <w:szCs w:val="20"/>
    </w:rPr>
  </w:style>
  <w:style w:type="character" w:styleId="FootnoteReference">
    <w:name w:val="footnote reference"/>
    <w:basedOn w:val="DefaultParagraphFont"/>
    <w:semiHidden/>
    <w:rsid w:val="00C13A3C"/>
    <w:rPr>
      <w:vertAlign w:val="superscript"/>
    </w:rPr>
  </w:style>
  <w:style w:type="paragraph" w:styleId="FootnoteText">
    <w:name w:val="footnote text"/>
    <w:basedOn w:val="Normal"/>
    <w:link w:val="FootnoteTextChar"/>
    <w:semiHidden/>
    <w:rsid w:val="00C13A3C"/>
    <w:rPr>
      <w:rFonts w:cs="Arial"/>
      <w:sz w:val="16"/>
    </w:rPr>
  </w:style>
  <w:style w:type="character" w:customStyle="1" w:styleId="FootnoteTextChar">
    <w:name w:val="Footnote Text Char"/>
    <w:basedOn w:val="DefaultParagraphFont"/>
    <w:link w:val="FootnoteText"/>
    <w:semiHidden/>
    <w:rsid w:val="00C13A3C"/>
    <w:rPr>
      <w:rFonts w:ascii="Arial" w:hAnsi="Arial" w:cs="Arial"/>
      <w:sz w:val="16"/>
      <w:szCs w:val="20"/>
    </w:rPr>
  </w:style>
  <w:style w:type="character" w:styleId="Hyperlink">
    <w:name w:val="Hyperlink"/>
    <w:basedOn w:val="DefaultParagraphFont"/>
    <w:uiPriority w:val="99"/>
    <w:rsid w:val="00C13A3C"/>
    <w:rPr>
      <w:rFonts w:cs="Times New Roman"/>
      <w:color w:val="0000FF"/>
      <w:u w:val="single"/>
    </w:rPr>
  </w:style>
  <w:style w:type="paragraph" w:customStyle="1" w:styleId="Level1">
    <w:name w:val="Level 1"/>
    <w:basedOn w:val="Body1"/>
    <w:uiPriority w:val="99"/>
    <w:rsid w:val="00C13A3C"/>
    <w:pPr>
      <w:numPr>
        <w:numId w:val="16"/>
      </w:numPr>
    </w:pPr>
  </w:style>
  <w:style w:type="character" w:customStyle="1" w:styleId="Level1asHeadingtext">
    <w:name w:val="Level 1 as Heading (text)"/>
    <w:basedOn w:val="DefaultParagraphFont"/>
    <w:uiPriority w:val="99"/>
    <w:rsid w:val="00E7475A"/>
    <w:rPr>
      <w:rFonts w:ascii="Arial" w:hAnsi="Arial"/>
      <w:b/>
      <w:bCs/>
      <w:caps w:val="0"/>
      <w:color w:val="A6A6A6" w:themeColor="background1" w:themeShade="A6"/>
      <w:sz w:val="32"/>
    </w:rPr>
  </w:style>
  <w:style w:type="paragraph" w:customStyle="1" w:styleId="Level2">
    <w:name w:val="Level 2"/>
    <w:basedOn w:val="Body2"/>
    <w:uiPriority w:val="99"/>
    <w:rsid w:val="00C13A3C"/>
    <w:pPr>
      <w:numPr>
        <w:ilvl w:val="1"/>
        <w:numId w:val="16"/>
      </w:numPr>
    </w:pPr>
  </w:style>
  <w:style w:type="character" w:customStyle="1" w:styleId="Level2asHeadingtext">
    <w:name w:val="Level 2 as Heading (text)"/>
    <w:basedOn w:val="DefaultParagraphFont"/>
    <w:uiPriority w:val="99"/>
    <w:rsid w:val="00E7475A"/>
    <w:rPr>
      <w:rFonts w:ascii="Arial" w:hAnsi="Arial"/>
      <w:b/>
      <w:bCs/>
      <w:color w:val="A6A6A6" w:themeColor="background1" w:themeShade="A6"/>
      <w:sz w:val="28"/>
    </w:rPr>
  </w:style>
  <w:style w:type="paragraph" w:customStyle="1" w:styleId="Level3">
    <w:name w:val="Level 3"/>
    <w:basedOn w:val="Body3"/>
    <w:uiPriority w:val="99"/>
    <w:rsid w:val="00C13A3C"/>
    <w:pPr>
      <w:numPr>
        <w:ilvl w:val="2"/>
        <w:numId w:val="16"/>
      </w:numPr>
    </w:pPr>
  </w:style>
  <w:style w:type="character" w:customStyle="1" w:styleId="Level3asHeadingtext">
    <w:name w:val="Level 3 as Heading (text)"/>
    <w:basedOn w:val="DefaultParagraphFont"/>
    <w:uiPriority w:val="99"/>
    <w:rsid w:val="00C13A3C"/>
    <w:rPr>
      <w:b/>
      <w:bCs/>
    </w:rPr>
  </w:style>
  <w:style w:type="paragraph" w:customStyle="1" w:styleId="Level4">
    <w:name w:val="Level 4"/>
    <w:basedOn w:val="Body4"/>
    <w:uiPriority w:val="99"/>
    <w:rsid w:val="00C13A3C"/>
    <w:pPr>
      <w:numPr>
        <w:ilvl w:val="3"/>
        <w:numId w:val="16"/>
      </w:numPr>
    </w:pPr>
  </w:style>
  <w:style w:type="paragraph" w:customStyle="1" w:styleId="Level5">
    <w:name w:val="Level 5"/>
    <w:basedOn w:val="Body5"/>
    <w:uiPriority w:val="99"/>
    <w:rsid w:val="00C13A3C"/>
    <w:pPr>
      <w:numPr>
        <w:ilvl w:val="4"/>
        <w:numId w:val="16"/>
      </w:numPr>
    </w:pPr>
  </w:style>
  <w:style w:type="paragraph" w:customStyle="1" w:styleId="Level6">
    <w:name w:val="Level 6"/>
    <w:basedOn w:val="Body6"/>
    <w:uiPriority w:val="99"/>
    <w:rsid w:val="00C13A3C"/>
    <w:pPr>
      <w:numPr>
        <w:ilvl w:val="5"/>
        <w:numId w:val="16"/>
      </w:numPr>
    </w:pPr>
  </w:style>
  <w:style w:type="paragraph" w:customStyle="1" w:styleId="MainHeading">
    <w:name w:val="Main Heading"/>
    <w:basedOn w:val="Body"/>
    <w:uiPriority w:val="99"/>
    <w:rsid w:val="00C13A3C"/>
    <w:pPr>
      <w:keepNext/>
      <w:keepLines/>
      <w:numPr>
        <w:numId w:val="17"/>
      </w:numPr>
      <w:jc w:val="center"/>
    </w:pPr>
    <w:rPr>
      <w:b/>
      <w:bCs/>
      <w:caps/>
      <w:sz w:val="24"/>
      <w:szCs w:val="24"/>
    </w:rPr>
  </w:style>
  <w:style w:type="character" w:styleId="PageNumber">
    <w:name w:val="page number"/>
    <w:basedOn w:val="DefaultParagraphFont"/>
    <w:uiPriority w:val="99"/>
    <w:rsid w:val="00C13A3C"/>
    <w:rPr>
      <w:rFonts w:asciiTheme="minorBidi" w:hAnsiTheme="minorBidi" w:cs="Arial"/>
      <w:sz w:val="20"/>
      <w:szCs w:val="20"/>
    </w:rPr>
  </w:style>
  <w:style w:type="paragraph" w:customStyle="1" w:styleId="Part">
    <w:name w:val="Part #"/>
    <w:basedOn w:val="Body"/>
    <w:next w:val="Normal"/>
    <w:uiPriority w:val="99"/>
    <w:rsid w:val="00C13A3C"/>
    <w:pPr>
      <w:keepNext/>
      <w:keepLines/>
      <w:numPr>
        <w:ilvl w:val="2"/>
        <w:numId w:val="19"/>
      </w:numPr>
      <w:jc w:val="center"/>
    </w:pPr>
  </w:style>
  <w:style w:type="paragraph" w:customStyle="1" w:styleId="Schedule">
    <w:name w:val="Schedule #"/>
    <w:basedOn w:val="Body"/>
    <w:next w:val="Normal"/>
    <w:uiPriority w:val="99"/>
    <w:rsid w:val="00C13A3C"/>
    <w:pPr>
      <w:keepNext/>
      <w:keepLines/>
      <w:numPr>
        <w:numId w:val="19"/>
      </w:numPr>
      <w:jc w:val="center"/>
    </w:pPr>
    <w:rPr>
      <w:b/>
      <w:bCs/>
    </w:rPr>
  </w:style>
  <w:style w:type="paragraph" w:customStyle="1" w:styleId="SubHeading">
    <w:name w:val="Sub Heading"/>
    <w:basedOn w:val="Body"/>
    <w:next w:val="Body"/>
    <w:uiPriority w:val="99"/>
    <w:rsid w:val="00C13A3C"/>
    <w:pPr>
      <w:keepNext/>
      <w:keepLines/>
      <w:numPr>
        <w:numId w:val="20"/>
      </w:numPr>
      <w:jc w:val="center"/>
    </w:pPr>
    <w:rPr>
      <w:b/>
      <w:bCs/>
      <w:caps/>
    </w:rPr>
  </w:style>
  <w:style w:type="table" w:styleId="TableGrid">
    <w:name w:val="Table Grid"/>
    <w:basedOn w:val="TableNormal"/>
    <w:uiPriority w:val="59"/>
    <w:rsid w:val="00C13A3C"/>
    <w:pPr>
      <w:widowControl/>
      <w:jc w:val="both"/>
    </w:pPr>
    <w:rPr>
      <w:rFonts w:asciiTheme="minorBidi" w:hAnsiTheme="minorBidi" w:cstheme="minorBid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C13A3C"/>
    <w:pPr>
      <w:tabs>
        <w:tab w:val="right" w:pos="8500"/>
      </w:tabs>
      <w:spacing w:after="240"/>
      <w:ind w:left="851" w:right="567" w:hanging="851"/>
    </w:pPr>
    <w:rPr>
      <w:rFonts w:cs="Arial"/>
      <w:caps/>
    </w:rPr>
  </w:style>
  <w:style w:type="paragraph" w:styleId="TOC2">
    <w:name w:val="toc 2"/>
    <w:basedOn w:val="TOC1"/>
    <w:next w:val="Normal"/>
    <w:rsid w:val="00C13A3C"/>
    <w:pPr>
      <w:ind w:left="1702"/>
    </w:pPr>
    <w:rPr>
      <w:caps w:val="0"/>
    </w:rPr>
  </w:style>
  <w:style w:type="paragraph" w:styleId="TOC3">
    <w:name w:val="toc 3"/>
    <w:basedOn w:val="TOC1"/>
    <w:next w:val="Normal"/>
    <w:rsid w:val="00C13A3C"/>
    <w:pPr>
      <w:ind w:left="2552"/>
    </w:pPr>
    <w:rPr>
      <w:caps w:val="0"/>
    </w:rPr>
  </w:style>
  <w:style w:type="paragraph" w:styleId="TOC4">
    <w:name w:val="toc 4"/>
    <w:basedOn w:val="TOC1"/>
    <w:next w:val="Normal"/>
    <w:uiPriority w:val="39"/>
    <w:rsid w:val="00C13A3C"/>
    <w:pPr>
      <w:ind w:left="0" w:firstLine="0"/>
    </w:pPr>
  </w:style>
  <w:style w:type="paragraph" w:styleId="TOC5">
    <w:name w:val="toc 5"/>
    <w:basedOn w:val="TOC1"/>
    <w:next w:val="Normal"/>
    <w:rsid w:val="00C13A3C"/>
    <w:pPr>
      <w:ind w:firstLine="0"/>
    </w:pPr>
    <w:rPr>
      <w:caps w:val="0"/>
    </w:rPr>
  </w:style>
  <w:style w:type="paragraph" w:styleId="TOC6">
    <w:name w:val="toc 6"/>
    <w:basedOn w:val="TOC1"/>
    <w:next w:val="Normal"/>
    <w:rsid w:val="00C13A3C"/>
    <w:pPr>
      <w:ind w:left="1701" w:firstLine="0"/>
    </w:pPr>
    <w:rPr>
      <w:caps w:val="0"/>
    </w:rPr>
  </w:style>
  <w:style w:type="paragraph" w:customStyle="1" w:styleId="Defs">
    <w:name w:val="Defs"/>
    <w:basedOn w:val="Body"/>
    <w:qFormat/>
    <w:rsid w:val="00C13A3C"/>
    <w:pPr>
      <w:numPr>
        <w:numId w:val="25"/>
      </w:numPr>
    </w:pPr>
    <w:rPr>
      <w:b/>
    </w:rPr>
  </w:style>
  <w:style w:type="paragraph" w:customStyle="1" w:styleId="Defs1">
    <w:name w:val="Defs 1"/>
    <w:basedOn w:val="Normal"/>
    <w:qFormat/>
    <w:rsid w:val="00C13A3C"/>
    <w:pPr>
      <w:numPr>
        <w:ilvl w:val="1"/>
        <w:numId w:val="25"/>
      </w:numPr>
      <w:adjustRightInd w:val="0"/>
      <w:spacing w:after="240"/>
    </w:pPr>
    <w:rPr>
      <w:rFonts w:eastAsia="Arial" w:cs="Arial"/>
      <w:lang w:val="en-US"/>
    </w:rPr>
  </w:style>
  <w:style w:type="paragraph" w:customStyle="1" w:styleId="Defs2">
    <w:name w:val="Defs 2"/>
    <w:basedOn w:val="Defs1"/>
    <w:qFormat/>
    <w:rsid w:val="00C13A3C"/>
    <w:pPr>
      <w:numPr>
        <w:ilvl w:val="2"/>
      </w:numPr>
    </w:pPr>
  </w:style>
  <w:style w:type="paragraph" w:customStyle="1" w:styleId="Defs3">
    <w:name w:val="Defs 3"/>
    <w:basedOn w:val="Defs2"/>
    <w:qFormat/>
    <w:rsid w:val="00C13A3C"/>
    <w:pPr>
      <w:numPr>
        <w:ilvl w:val="3"/>
      </w:numPr>
    </w:pPr>
  </w:style>
  <w:style w:type="paragraph" w:customStyle="1" w:styleId="Defs4">
    <w:name w:val="Defs 4"/>
    <w:basedOn w:val="Defs3"/>
    <w:qFormat/>
    <w:rsid w:val="00C13A3C"/>
    <w:pPr>
      <w:numPr>
        <w:ilvl w:val="4"/>
      </w:numPr>
    </w:pPr>
  </w:style>
  <w:style w:type="paragraph" w:styleId="BalloonText">
    <w:name w:val="Balloon Text"/>
    <w:basedOn w:val="Normal"/>
    <w:link w:val="BalloonTextChar"/>
    <w:uiPriority w:val="99"/>
    <w:semiHidden/>
    <w:unhideWhenUsed/>
    <w:rsid w:val="007615A3"/>
    <w:rPr>
      <w:rFonts w:ascii="Tahoma" w:hAnsi="Tahoma" w:cs="Tahoma"/>
      <w:sz w:val="16"/>
      <w:szCs w:val="16"/>
    </w:rPr>
  </w:style>
  <w:style w:type="character" w:customStyle="1" w:styleId="BalloonTextChar">
    <w:name w:val="Balloon Text Char"/>
    <w:basedOn w:val="DefaultParagraphFont"/>
    <w:link w:val="BalloonText"/>
    <w:uiPriority w:val="99"/>
    <w:semiHidden/>
    <w:rsid w:val="00761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1174-BC6A-49E6-9714-F0853005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26</Pages>
  <Words>4944</Words>
  <Characters>28185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33063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%username:-0,2%</cp:lastModifiedBy>
  <cp:revision>23</cp:revision>
  <dcterms:created xsi:type="dcterms:W3CDTF">2019-08-26T19:03:00Z</dcterms:created>
  <dcterms:modified xsi:type="dcterms:W3CDTF">2019-08-26T21:10:00Z</dcterms:modified>
</cp:coreProperties>
</file>